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D943" w14:textId="7078AF80" w:rsidR="00403F33" w:rsidRPr="002F0F96" w:rsidRDefault="001B624B" w:rsidP="002F0F96">
      <w:pPr>
        <w:pStyle w:val="NormalWeb"/>
        <w:bidi/>
        <w:spacing w:before="0" w:after="0"/>
        <w:textAlignment w:val="baseline"/>
        <w:rPr>
          <w:rStyle w:val="Strong"/>
          <w:rFonts w:ascii="Arial" w:hAnsi="Arial" w:cs="Arial"/>
          <w:color w:val="0082CA"/>
          <w:sz w:val="26"/>
          <w:szCs w:val="26"/>
          <w:bdr w:val="none" w:sz="0" w:space="0" w:color="auto" w:frame="1"/>
        </w:rPr>
      </w:pPr>
      <w:r w:rsidRPr="002F0F96">
        <w:rPr>
          <w:rStyle w:val="Strong"/>
          <w:rFonts w:ascii="Arial" w:hAnsi="Arial" w:cs="Arial"/>
          <w:color w:val="0082CA"/>
          <w:sz w:val="26"/>
          <w:szCs w:val="26"/>
          <w:bdr w:val="none" w:sz="0" w:space="0" w:color="auto" w:frame="1"/>
          <w:rtl/>
          <w:lang w:bidi="ar"/>
        </w:rPr>
        <w:t>مارس 2023</w:t>
      </w:r>
    </w:p>
    <w:p w14:paraId="2B93C828" w14:textId="51E21516" w:rsidR="00A52920" w:rsidRPr="002F0F96" w:rsidRDefault="00A52920" w:rsidP="002F0F96">
      <w:pPr>
        <w:pStyle w:val="NormalWeb"/>
        <w:bidi/>
        <w:spacing w:before="0" w:after="0"/>
        <w:textAlignment w:val="baseline"/>
        <w:rPr>
          <w:rStyle w:val="Strong"/>
          <w:rFonts w:ascii="Arial" w:hAnsi="Arial" w:cs="Arial"/>
          <w:color w:val="0082CA"/>
          <w:sz w:val="26"/>
          <w:szCs w:val="26"/>
          <w:bdr w:val="none" w:sz="0" w:space="0" w:color="auto" w:frame="1"/>
        </w:rPr>
      </w:pPr>
      <w:r w:rsidRPr="002F0F96">
        <w:rPr>
          <w:rStyle w:val="Strong"/>
          <w:rFonts w:ascii="Arial" w:hAnsi="Arial" w:cs="Arial"/>
          <w:color w:val="0082CA"/>
          <w:sz w:val="26"/>
          <w:szCs w:val="26"/>
          <w:bdr w:val="none" w:sz="0" w:space="0" w:color="auto" w:frame="1"/>
          <w:rtl/>
          <w:lang w:bidi="ar"/>
        </w:rPr>
        <w:t>طرح بيان سياسة التنوع والمساواة والشمول (</w:t>
      </w:r>
      <w:r w:rsidRPr="002F0F96">
        <w:rPr>
          <w:rStyle w:val="Strong"/>
          <w:rFonts w:ascii="Arial" w:hAnsi="Arial" w:cs="Arial"/>
          <w:color w:val="0082CA"/>
          <w:sz w:val="26"/>
          <w:szCs w:val="26"/>
          <w:bdr w:val="none" w:sz="0" w:space="0" w:color="auto" w:frame="1"/>
        </w:rPr>
        <w:t>DEI</w:t>
      </w:r>
      <w:r w:rsidRPr="002F0F96">
        <w:rPr>
          <w:rStyle w:val="Strong"/>
          <w:rFonts w:ascii="Arial" w:hAnsi="Arial" w:cs="Arial"/>
          <w:color w:val="0082CA"/>
          <w:sz w:val="26"/>
          <w:szCs w:val="26"/>
          <w:bdr w:val="none" w:sz="0" w:space="0" w:color="auto" w:frame="1"/>
          <w:rtl/>
          <w:lang w:bidi="ar"/>
        </w:rPr>
        <w:t>)</w:t>
      </w:r>
    </w:p>
    <w:p w14:paraId="694FD451" w14:textId="72AB496A" w:rsidR="001B624B" w:rsidRPr="00CF5BED" w:rsidRDefault="001B624B" w:rsidP="00A52920">
      <w:pPr>
        <w:pStyle w:val="NormalWeb"/>
        <w:shd w:val="clear" w:color="auto" w:fill="FFFFFF"/>
        <w:spacing w:before="0" w:after="0"/>
        <w:textAlignment w:val="baseline"/>
        <w:rPr>
          <w:rStyle w:val="Strong"/>
          <w:rFonts w:ascii="Arial" w:hAnsi="Arial" w:cs="Arial"/>
          <w:vanish/>
          <w:bdr w:val="none" w:sz="0" w:space="0" w:color="auto" w:frame="1"/>
        </w:rPr>
      </w:pPr>
      <w:r>
        <w:rPr>
          <w:rStyle w:val="Strong"/>
          <w:rFonts w:ascii="Arial" w:hAnsi="Arial" w:cs="Arial"/>
          <w:vanish/>
          <w:highlight w:val="yellow"/>
          <w:bdr w:val="none" w:sz="0" w:space="0" w:color="auto" w:frame="1"/>
        </w:rPr>
        <w:t>Languages- French, English, Arabic, Spanish, Italian, Creoles, Greek, Chinese, Portuguese, Romanian, Hebrew, Russian, German, Cantonese, Punjabi</w:t>
      </w:r>
    </w:p>
    <w:p w14:paraId="051C575A" w14:textId="3064A0D8" w:rsidR="00373BB2" w:rsidRPr="001B624B" w:rsidRDefault="00FB579B" w:rsidP="00373BB2">
      <w:pPr>
        <w:pStyle w:val="NormalWeb"/>
        <w:shd w:val="clear" w:color="auto" w:fill="FFFFFF"/>
        <w:bidi/>
        <w:spacing w:before="0" w:after="0"/>
        <w:textAlignment w:val="baseline"/>
        <w:rPr>
          <w:rFonts w:ascii="Arial" w:hAnsi="Arial" w:cs="Arial"/>
          <w:color w:val="282828"/>
          <w:sz w:val="22"/>
          <w:szCs w:val="22"/>
        </w:rPr>
      </w:pPr>
      <w:r>
        <w:rPr>
          <w:rFonts w:ascii="Arial" w:hAnsi="Arial" w:cs="Arial"/>
          <w:b/>
          <w:bCs/>
          <w:color w:val="0070C0"/>
          <w:sz w:val="22"/>
          <w:szCs w:val="22"/>
          <w:u w:val="single"/>
          <w:rtl/>
          <w:lang w:bidi="ar"/>
        </w:rPr>
        <w:t xml:space="preserve">تمهيد </w:t>
      </w:r>
      <w:r>
        <w:rPr>
          <w:rFonts w:ascii="Arial" w:hAnsi="Arial" w:cs="Arial"/>
          <w:color w:val="282828"/>
          <w:sz w:val="22"/>
          <w:szCs w:val="22"/>
        </w:rPr>
        <w:br/>
      </w:r>
      <w:r>
        <w:rPr>
          <w:rFonts w:ascii="Arial" w:hAnsi="Arial" w:cs="Arial"/>
          <w:color w:val="282828"/>
          <w:sz w:val="22"/>
          <w:szCs w:val="22"/>
          <w:rtl/>
          <w:lang w:bidi="ar"/>
        </w:rPr>
        <w:t>مركز كامينغز، الرائد في مجال الشيخوخة مع التمتع بالصحة، هو مؤسسة مجتمعية غير ربحية قائمة على العضوية مقرها مونتريال، كيبيك، وتقدم خدماتها لأكثر من 50 شخصًا.  وتوافقًا مع الاحتياجات المتطورة لهذه الفئة واستنادًا إلى شغف وتنوع المتطوعين والأعضاء والجهات المانجة والقوى العاملة للمركز، فقد اتبع مركز كامينغز، كجزء من تحديث خطته الاستراتيجية، نهجًا متعدد الأبعاد لمعالجة التنوع والمساواة والشمول، والانتماء عبر جميع جوانب المؤسسة.</w:t>
      </w:r>
    </w:p>
    <w:p w14:paraId="67DE462E" w14:textId="319DCD0E" w:rsidR="00725759" w:rsidRPr="001B624B" w:rsidRDefault="00725759" w:rsidP="00725759">
      <w:pPr>
        <w:pStyle w:val="NormalWeb"/>
        <w:shd w:val="clear" w:color="auto" w:fill="FFFFFF"/>
        <w:bidi/>
        <w:spacing w:before="0" w:after="0"/>
        <w:textAlignment w:val="baseline"/>
        <w:rPr>
          <w:rFonts w:ascii="Arial" w:hAnsi="Arial" w:cs="Arial"/>
          <w:color w:val="282828"/>
          <w:sz w:val="22"/>
          <w:szCs w:val="22"/>
        </w:rPr>
      </w:pPr>
      <w:r>
        <w:rPr>
          <w:rFonts w:ascii="Arial" w:hAnsi="Arial" w:cs="Arial"/>
          <w:color w:val="282828"/>
          <w:sz w:val="22"/>
          <w:szCs w:val="22"/>
          <w:rtl/>
          <w:lang w:bidi="ar"/>
        </w:rPr>
        <w:t>وبناءً على قيمته الخاصة بتعزيز جهود التنوع والمساواة والشمول بالمركز، تم تشكيل فريق عمل التنوع والمساواة والشمول تحت إشراف مجلس الإدارة. وعلى هذا النحو، تم تطوير بيان سياسة التنوع والمساواة والشمول التالي مع تعليقات وملاحظات من سلسلة من مجموعات التركيز ومجلس الإدارة.</w:t>
      </w:r>
    </w:p>
    <w:p w14:paraId="08ADEB92" w14:textId="309B8EF8" w:rsidR="005122E5" w:rsidRPr="001B624B" w:rsidRDefault="005122E5" w:rsidP="007C6754">
      <w:pPr>
        <w:pStyle w:val="NormalWeb"/>
        <w:bidi/>
        <w:spacing w:before="0" w:beforeAutospacing="0" w:after="0" w:afterAutospacing="0" w:line="276" w:lineRule="auto"/>
        <w:rPr>
          <w:rFonts w:ascii="Arial" w:eastAsia="Arial" w:hAnsi="Arial" w:cs="Arial"/>
          <w:b/>
          <w:bCs/>
          <w:color w:val="0070C0"/>
          <w:sz w:val="22"/>
          <w:szCs w:val="22"/>
          <w:u w:val="single"/>
        </w:rPr>
      </w:pPr>
      <w:r>
        <w:rPr>
          <w:rFonts w:ascii="Arial" w:eastAsia="Arial" w:hAnsi="Arial" w:cs="Arial"/>
          <w:b/>
          <w:bCs/>
          <w:color w:val="0070C0"/>
          <w:sz w:val="22"/>
          <w:szCs w:val="22"/>
          <w:u w:val="single"/>
          <w:rtl/>
          <w:lang w:bidi="ar"/>
        </w:rPr>
        <w:t xml:space="preserve">البيان </w:t>
      </w:r>
    </w:p>
    <w:p w14:paraId="1FE4A637" w14:textId="69053ACE" w:rsidR="007C6754" w:rsidRPr="001B624B" w:rsidRDefault="007C6754" w:rsidP="007C6754">
      <w:pPr>
        <w:pStyle w:val="NormalWeb"/>
        <w:bidi/>
        <w:spacing w:before="0" w:beforeAutospacing="0" w:after="0" w:afterAutospacing="0" w:line="276" w:lineRule="auto"/>
        <w:rPr>
          <w:rFonts w:ascii="Arial" w:hAnsi="Arial" w:cs="Arial"/>
          <w:i/>
          <w:iCs/>
          <w:color w:val="000000" w:themeColor="text1"/>
          <w:sz w:val="22"/>
          <w:szCs w:val="22"/>
        </w:rPr>
      </w:pPr>
      <w:r>
        <w:rPr>
          <w:rFonts w:ascii="Arial" w:eastAsia="Arial" w:hAnsi="Arial" w:cs="Arial"/>
          <w:i/>
          <w:iCs/>
          <w:color w:val="000000" w:themeColor="text1"/>
          <w:sz w:val="22"/>
          <w:szCs w:val="22"/>
          <w:rtl/>
          <w:lang w:bidi="ar"/>
        </w:rPr>
        <w:t>يلتزم مركز كامينغز اليهودي لكبار السن بإنشاء مؤسسة شاملة يشعر فيها الجميع بالانتماء وأنهم متساوون في إمكانية الوصول إلى الفرص وتحقيق التقدم. نحن مؤسسة تعزز التنوع وتقدره. نرحب بالجميع ونحترمهم، بغض النظر عن العرق، أو الدين، أو الإثنية، أو العمر، أو الحالة الاجتماعية والاقتصادية، أو اللغة، أو التوجه الجنسي، أو الهوية الجنسية، أو الإعاقة، أو أي عامل آخر. ولن نتهاون مع التمييز على أي أساس. ومعًا، نسعى جاهدين لبناء ثقافة شاملة تشجع، وتدعم، وتشيد بالأصوات المتنوعة لموظفينا، ومتطوعينا، وأعضائنا، وعملائنا.</w:t>
      </w:r>
    </w:p>
    <w:p w14:paraId="3A41C49B" w14:textId="77777777" w:rsidR="007C6754" w:rsidRPr="001B624B" w:rsidRDefault="007C6754" w:rsidP="007C6754">
      <w:pPr>
        <w:pStyle w:val="NormalWeb"/>
        <w:spacing w:before="0" w:beforeAutospacing="0" w:after="0" w:afterAutospacing="0" w:line="276" w:lineRule="auto"/>
        <w:rPr>
          <w:rFonts w:ascii="Arial" w:eastAsia="Arial" w:hAnsi="Arial" w:cs="Arial"/>
          <w:i/>
          <w:iCs/>
          <w:color w:val="000000" w:themeColor="text1"/>
          <w:sz w:val="22"/>
          <w:szCs w:val="22"/>
        </w:rPr>
      </w:pPr>
    </w:p>
    <w:p w14:paraId="21C9593C" w14:textId="5FD956FE" w:rsidR="007C6754" w:rsidRPr="001B624B" w:rsidRDefault="007C6754" w:rsidP="007C6754">
      <w:pPr>
        <w:pStyle w:val="NormalWeb"/>
        <w:bidi/>
        <w:spacing w:before="0" w:beforeAutospacing="0" w:after="0" w:afterAutospacing="0" w:line="276" w:lineRule="auto"/>
        <w:rPr>
          <w:rFonts w:ascii="Arial" w:eastAsia="Arial" w:hAnsi="Arial" w:cs="Arial"/>
          <w:i/>
          <w:iCs/>
          <w:color w:val="000000" w:themeColor="text1"/>
          <w:sz w:val="22"/>
          <w:szCs w:val="22"/>
        </w:rPr>
      </w:pPr>
      <w:r>
        <w:rPr>
          <w:rFonts w:ascii="Arial" w:eastAsia="Arial" w:hAnsi="Arial" w:cs="Arial"/>
          <w:i/>
          <w:iCs/>
          <w:color w:val="000000" w:themeColor="text1"/>
          <w:sz w:val="22"/>
          <w:szCs w:val="22"/>
          <w:rtl/>
          <w:lang w:bidi="ar"/>
        </w:rPr>
        <w:t>وسينعكس التزامنا بالشمولية في سياساتنا وإجراءاتنا التنظيمية، وفي ممارسات التوظيف لدينا، وفي خطتنا الاستراتيجية، ضمن أهدافنا التنظيمية، ويتضح في برامجنا المتنوعة وتخصيصنا</w:t>
      </w:r>
      <w:r>
        <w:rPr>
          <w:rFonts w:ascii="Arial" w:eastAsia="Arial" w:hAnsi="Arial" w:cs="Arial"/>
          <w:i/>
          <w:iCs/>
          <w:color w:val="4472C4" w:themeColor="accent1"/>
          <w:sz w:val="22"/>
          <w:szCs w:val="22"/>
          <w:rtl/>
          <w:lang w:bidi="ar"/>
        </w:rPr>
        <w:t xml:space="preserve"> </w:t>
      </w:r>
      <w:r>
        <w:rPr>
          <w:rFonts w:ascii="Arial" w:eastAsia="Arial" w:hAnsi="Arial" w:cs="Arial"/>
          <w:i/>
          <w:iCs/>
          <w:color w:val="000000" w:themeColor="text1"/>
          <w:sz w:val="22"/>
          <w:szCs w:val="22"/>
          <w:rtl/>
          <w:lang w:bidi="ar"/>
        </w:rPr>
        <w:t>للموارد.</w:t>
      </w:r>
    </w:p>
    <w:p w14:paraId="4C82358D" w14:textId="2FEB3394" w:rsidR="00484269" w:rsidRPr="001B624B" w:rsidRDefault="00484269" w:rsidP="007C6754">
      <w:pPr>
        <w:pStyle w:val="NormalWeb"/>
        <w:bidi/>
        <w:spacing w:before="0" w:beforeAutospacing="0" w:after="0" w:afterAutospacing="0" w:line="276" w:lineRule="auto"/>
        <w:rPr>
          <w:rFonts w:ascii="Arial" w:eastAsia="Arial" w:hAnsi="Arial" w:cs="Arial"/>
          <w:i/>
          <w:iCs/>
          <w:color w:val="000000" w:themeColor="text1"/>
          <w:sz w:val="22"/>
          <w:szCs w:val="22"/>
        </w:rPr>
      </w:pPr>
      <w:r>
        <w:rPr>
          <w:rFonts w:ascii="Arial" w:eastAsia="Arial" w:hAnsi="Arial" w:cs="Arial"/>
          <w:i/>
          <w:iCs/>
          <w:noProof/>
          <w:color w:val="000000" w:themeColor="text1"/>
          <w:sz w:val="22"/>
          <w:szCs w:val="22"/>
        </w:rPr>
        <mc:AlternateContent>
          <mc:Choice Requires="wps">
            <w:drawing>
              <wp:anchor distT="0" distB="0" distL="114300" distR="114300" simplePos="0" relativeHeight="251659264" behindDoc="0" locked="0" layoutInCell="1" allowOverlap="1" wp14:anchorId="74653CA4" wp14:editId="6D2689E2">
                <wp:simplePos x="0" y="0"/>
                <wp:positionH relativeFrom="margin">
                  <wp:align>left</wp:align>
                </wp:positionH>
                <wp:positionV relativeFrom="paragraph">
                  <wp:posOffset>154940</wp:posOffset>
                </wp:positionV>
                <wp:extent cx="6126480" cy="6400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6126480" cy="640080"/>
                        </a:xfrm>
                        <a:prstGeom prst="rect">
                          <a:avLst/>
                        </a:prstGeom>
                        <a:solidFill>
                          <a:schemeClr val="lt1"/>
                        </a:solidFill>
                        <a:ln w="6350">
                          <a:solidFill>
                            <a:prstClr val="black"/>
                          </a:solidFill>
                        </a:ln>
                      </wps:spPr>
                      <wps:txbx>
                        <w:txbxContent>
                          <w:p w14:paraId="1C759C46" w14:textId="0B46BB80" w:rsidR="00725759" w:rsidRPr="00806117" w:rsidRDefault="00725759">
                            <w:pPr>
                              <w:bidi/>
                              <w:rPr>
                                <w:b/>
                                <w:bCs/>
                              </w:rPr>
                            </w:pPr>
                            <w:r>
                              <w:rPr>
                                <w:b/>
                                <w:bCs/>
                                <w:rtl/>
                                <w:lang w:bidi="ar"/>
                              </w:rPr>
                              <w:t>*</w:t>
                            </w:r>
                            <w:r>
                              <w:rPr>
                                <w:b/>
                                <w:bCs/>
                                <w:sz w:val="28"/>
                                <w:szCs w:val="28"/>
                                <w:rtl/>
                                <w:lang w:bidi="ar"/>
                              </w:rPr>
                              <w:t xml:space="preserve">تشمل قيم مركز كامينغز ما يلي: </w:t>
                            </w:r>
                            <w:r>
                              <w:rPr>
                                <w:b/>
                                <w:bCs/>
                                <w:rtl/>
                                <w:lang w:bidi="ar"/>
                              </w:rPr>
                              <w:t xml:space="preserve"> </w:t>
                            </w:r>
                            <w:r>
                              <w:rPr>
                                <w:b/>
                                <w:bCs/>
                                <w:sz w:val="28"/>
                                <w:szCs w:val="28"/>
                                <w:rtl/>
                                <w:lang w:bidi="ar"/>
                              </w:rPr>
                              <w:t>الاحترام، والكرامة، والتنوع، والمساواة، والشمولية، والتمكين، والتميز، والرحمة، والالتزام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653CA4" id="_x0000_t202" coordsize="21600,21600" o:spt="202" path="m,l,21600r21600,l21600,xe">
                <v:stroke joinstyle="miter"/>
                <v:path gradientshapeok="t" o:connecttype="rect"/>
              </v:shapetype>
              <v:shape id="Text Box 1" o:spid="_x0000_s1026" type="#_x0000_t202" style="position:absolute;left:0;text-align:left;margin-left:0;margin-top:12.2pt;width:482.4pt;height:50.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" fillcolor="white [3201]" strokeweight=".5pt">
                <v:textbox>
                  <w:txbxContent>
                    <w:p w14:paraId="1C759C46" w14:textId="0B46BB80" w:rsidR="00725759" w:rsidRPr="00806117" w:rsidRDefault="00725759">
                      <w:pPr>
                        <w:bidi/>
                        <w:rPr>
                          <w:b/>
                          <w:bCs/>
                        </w:rPr>
                      </w:pPr>
                      <w:r>
                        <w:rPr>
                          <w:b/>
                          <w:bCs/>
                          <w:rtl/>
                          <w:lang w:bidi="ar"/>
                        </w:rPr>
                        <w:t>*</w:t>
                      </w:r>
                      <w:r>
                        <w:rPr>
                          <w:b/>
                          <w:bCs/>
                          <w:sz w:val="28"/>
                          <w:szCs w:val="28"/>
                          <w:rtl/>
                          <w:lang w:bidi="ar"/>
                        </w:rPr>
                        <w:t xml:space="preserve">تشمل قيم مركز كامينغز ما يلي: </w:t>
                      </w:r>
                      <w:r>
                        <w:rPr>
                          <w:b/>
                          <w:bCs/>
                          <w:rtl/>
                          <w:lang w:bidi="ar"/>
                        </w:rPr>
                        <w:t xml:space="preserve"> </w:t>
                      </w:r>
                      <w:r>
                        <w:rPr>
                          <w:b/>
                          <w:bCs/>
                          <w:sz w:val="28"/>
                          <w:szCs w:val="28"/>
                          <w:rtl/>
                          <w:lang w:bidi="ar"/>
                        </w:rPr>
                        <w:t>الاحترام، والكرامة، والتنوع، والمساواة، والشمولية، والتمكين، والتميز، والرحمة، والالتزام</w:t>
                      </w:r>
                    </w:p>
                  </w:txbxContent>
                </v:textbox>
                <w10:wrap anchorx="margin"/>
              </v:shape>
            </w:pict>
          </mc:Fallback>
        </mc:AlternateContent>
      </w:r>
    </w:p>
    <w:p w14:paraId="41143754" w14:textId="3F9B6729" w:rsidR="00484269" w:rsidRPr="001B624B" w:rsidRDefault="00484269" w:rsidP="007C6754">
      <w:pPr>
        <w:pStyle w:val="NormalWeb"/>
        <w:spacing w:before="0" w:beforeAutospacing="0" w:after="0" w:afterAutospacing="0" w:line="276" w:lineRule="auto"/>
        <w:rPr>
          <w:rFonts w:ascii="Arial" w:eastAsia="Arial" w:hAnsi="Arial" w:cs="Arial"/>
          <w:i/>
          <w:iCs/>
          <w:color w:val="000000" w:themeColor="text1"/>
          <w:sz w:val="22"/>
          <w:szCs w:val="22"/>
        </w:rPr>
      </w:pPr>
    </w:p>
    <w:p w14:paraId="47D15AF9" w14:textId="459BDC72" w:rsidR="00484269" w:rsidRPr="001B624B" w:rsidRDefault="00484269" w:rsidP="007C6754">
      <w:pPr>
        <w:pStyle w:val="NormalWeb"/>
        <w:spacing w:before="0" w:beforeAutospacing="0" w:after="0" w:afterAutospacing="0" w:line="276" w:lineRule="auto"/>
        <w:rPr>
          <w:rFonts w:ascii="Arial" w:eastAsia="Arial" w:hAnsi="Arial" w:cs="Arial"/>
          <w:i/>
          <w:iCs/>
          <w:color w:val="000000" w:themeColor="text1"/>
          <w:sz w:val="22"/>
          <w:szCs w:val="22"/>
        </w:rPr>
      </w:pPr>
    </w:p>
    <w:p w14:paraId="0764E107" w14:textId="44197454" w:rsidR="00484269" w:rsidRPr="001B624B" w:rsidRDefault="00484269" w:rsidP="007C6754">
      <w:pPr>
        <w:pStyle w:val="NormalWeb"/>
        <w:spacing w:before="0" w:beforeAutospacing="0" w:after="0" w:afterAutospacing="0" w:line="276" w:lineRule="auto"/>
        <w:rPr>
          <w:rFonts w:ascii="Arial" w:eastAsia="Arial" w:hAnsi="Arial" w:cs="Arial"/>
          <w:i/>
          <w:iCs/>
          <w:color w:val="000000" w:themeColor="text1"/>
          <w:sz w:val="22"/>
          <w:szCs w:val="22"/>
        </w:rPr>
      </w:pPr>
    </w:p>
    <w:p w14:paraId="5F2BF879" w14:textId="78E2CD51" w:rsidR="00433EF8" w:rsidRPr="001B624B" w:rsidRDefault="00DF6567" w:rsidP="00433EF8">
      <w:pPr>
        <w:pStyle w:val="NormalWeb"/>
        <w:shd w:val="clear" w:color="auto" w:fill="FFFFFF"/>
        <w:bidi/>
        <w:spacing w:before="0" w:after="0"/>
        <w:textAlignment w:val="baseline"/>
        <w:rPr>
          <w:rFonts w:ascii="Arial" w:hAnsi="Arial" w:cs="Arial"/>
          <w:b/>
          <w:bCs/>
          <w:color w:val="0070C0"/>
          <w:sz w:val="22"/>
          <w:szCs w:val="22"/>
          <w:u w:val="single"/>
        </w:rPr>
      </w:pPr>
      <w:r>
        <w:rPr>
          <w:rFonts w:ascii="Arial" w:hAnsi="Arial" w:cs="Arial"/>
          <w:b/>
          <w:bCs/>
          <w:color w:val="0070C0"/>
          <w:sz w:val="22"/>
          <w:szCs w:val="22"/>
          <w:u w:val="single"/>
          <w:rtl/>
          <w:lang w:bidi="ar"/>
        </w:rPr>
        <w:t xml:space="preserve">عين على المستقبل - التزامنا بالتنوع والمساواة والشمول </w:t>
      </w:r>
    </w:p>
    <w:p w14:paraId="4C97E12B" w14:textId="77C01446" w:rsidR="00BB07A8" w:rsidRPr="001B624B" w:rsidRDefault="00015BD5" w:rsidP="00BB07A8">
      <w:pPr>
        <w:pStyle w:val="NormalWeb"/>
        <w:numPr>
          <w:ilvl w:val="0"/>
          <w:numId w:val="7"/>
        </w:numPr>
        <w:shd w:val="clear" w:color="auto" w:fill="FFFFFF"/>
        <w:bidi/>
        <w:spacing w:before="0" w:after="0"/>
        <w:textAlignment w:val="baseline"/>
        <w:rPr>
          <w:rFonts w:ascii="Arial" w:hAnsi="Arial" w:cs="Arial"/>
          <w:sz w:val="22"/>
          <w:szCs w:val="22"/>
        </w:rPr>
      </w:pPr>
      <w:r>
        <w:rPr>
          <w:rFonts w:ascii="Arial" w:hAnsi="Arial" w:cs="Arial"/>
          <w:b/>
          <w:bCs/>
          <w:sz w:val="22"/>
          <w:szCs w:val="22"/>
          <w:rtl/>
          <w:lang w:bidi="ar"/>
        </w:rPr>
        <w:t>المواءمة بين الموارد البشرية والمالية</w:t>
      </w:r>
      <w:r>
        <w:rPr>
          <w:rFonts w:ascii="Arial" w:hAnsi="Arial" w:cs="Arial"/>
          <w:sz w:val="22"/>
          <w:szCs w:val="22"/>
          <w:rtl/>
          <w:lang w:bidi="ar"/>
        </w:rPr>
        <w:t xml:space="preserve"> لدعم أفضل الممارسات</w:t>
      </w:r>
    </w:p>
    <w:p w14:paraId="6640B8EA" w14:textId="77777777" w:rsidR="00BB07A8" w:rsidRPr="001B624B" w:rsidRDefault="00BB07A8" w:rsidP="00BB07A8">
      <w:pPr>
        <w:pStyle w:val="NormalWeb"/>
        <w:numPr>
          <w:ilvl w:val="0"/>
          <w:numId w:val="7"/>
        </w:numPr>
        <w:shd w:val="clear" w:color="auto" w:fill="FFFFFF"/>
        <w:bidi/>
        <w:spacing w:before="0" w:after="0"/>
        <w:textAlignment w:val="baseline"/>
        <w:rPr>
          <w:rFonts w:ascii="Arial" w:hAnsi="Arial" w:cs="Arial"/>
          <w:sz w:val="22"/>
          <w:szCs w:val="22"/>
        </w:rPr>
      </w:pPr>
      <w:r>
        <w:rPr>
          <w:rFonts w:ascii="Arial" w:hAnsi="Arial" w:cs="Arial"/>
          <w:b/>
          <w:bCs/>
          <w:sz w:val="22"/>
          <w:szCs w:val="22"/>
          <w:rtl/>
          <w:lang w:bidi="ar"/>
        </w:rPr>
        <w:t>توفير فرص التدريب والتطوير المهني</w:t>
      </w:r>
      <w:r>
        <w:rPr>
          <w:rFonts w:ascii="Arial" w:hAnsi="Arial" w:cs="Arial"/>
          <w:sz w:val="22"/>
          <w:szCs w:val="22"/>
          <w:rtl/>
          <w:lang w:bidi="ar"/>
        </w:rPr>
        <w:t xml:space="preserve"> </w:t>
      </w:r>
    </w:p>
    <w:p w14:paraId="409DF50E" w14:textId="59CCC11A" w:rsidR="00BB07A8" w:rsidRPr="001B624B" w:rsidRDefault="00DF6567" w:rsidP="00BB07A8">
      <w:pPr>
        <w:pStyle w:val="NormalWeb"/>
        <w:numPr>
          <w:ilvl w:val="0"/>
          <w:numId w:val="7"/>
        </w:numPr>
        <w:shd w:val="clear" w:color="auto" w:fill="FFFFFF"/>
        <w:bidi/>
        <w:spacing w:before="0" w:after="0"/>
        <w:textAlignment w:val="baseline"/>
        <w:rPr>
          <w:rFonts w:ascii="Arial" w:hAnsi="Arial" w:cs="Arial"/>
          <w:sz w:val="22"/>
          <w:szCs w:val="22"/>
        </w:rPr>
      </w:pPr>
      <w:r>
        <w:rPr>
          <w:rFonts w:ascii="Arial" w:hAnsi="Arial" w:cs="Arial"/>
          <w:b/>
          <w:bCs/>
          <w:sz w:val="22"/>
          <w:szCs w:val="22"/>
          <w:rtl/>
          <w:lang w:bidi="ar"/>
        </w:rPr>
        <w:t xml:space="preserve">إعطاء الأولوية لتنويع الحوكمة </w:t>
      </w:r>
    </w:p>
    <w:p w14:paraId="7A54B210" w14:textId="38C7D818" w:rsidR="00B613F6" w:rsidRPr="001B624B" w:rsidRDefault="00DF6567" w:rsidP="00BB07A8">
      <w:pPr>
        <w:pStyle w:val="NormalWeb"/>
        <w:numPr>
          <w:ilvl w:val="0"/>
          <w:numId w:val="7"/>
        </w:numPr>
        <w:shd w:val="clear" w:color="auto" w:fill="FFFFFF"/>
        <w:bidi/>
        <w:spacing w:before="0" w:after="0"/>
        <w:textAlignment w:val="baseline"/>
        <w:rPr>
          <w:rFonts w:ascii="Arial" w:hAnsi="Arial" w:cs="Arial"/>
          <w:sz w:val="22"/>
          <w:szCs w:val="22"/>
        </w:rPr>
      </w:pPr>
      <w:r>
        <w:rPr>
          <w:rFonts w:ascii="Arial" w:hAnsi="Arial" w:cs="Arial"/>
          <w:b/>
          <w:bCs/>
          <w:sz w:val="22"/>
          <w:szCs w:val="22"/>
          <w:rtl/>
          <w:lang w:bidi="ar"/>
        </w:rPr>
        <w:t>تحسين إمكانية الوصول</w:t>
      </w:r>
      <w:r>
        <w:rPr>
          <w:rFonts w:ascii="Arial" w:hAnsi="Arial" w:cs="Arial"/>
          <w:sz w:val="22"/>
          <w:szCs w:val="22"/>
          <w:rtl/>
          <w:lang w:bidi="ar"/>
        </w:rPr>
        <w:t xml:space="preserve">- مراجعة وتطبيق أفضل الممارسات المتعلقة بإمكانية الوصول بما في ذلك: مرافق المركز، ومنصاته التكنولوجية ومنصات الاتصالات </w:t>
      </w:r>
    </w:p>
    <w:p w14:paraId="03664911" w14:textId="162A38F3" w:rsidR="00015BD5" w:rsidRPr="001B624B" w:rsidRDefault="008B17C6" w:rsidP="00B613F6">
      <w:pPr>
        <w:pStyle w:val="NormalWeb"/>
        <w:shd w:val="clear" w:color="auto" w:fill="FFFFFF"/>
        <w:bidi/>
        <w:spacing w:before="0" w:after="0"/>
        <w:textAlignment w:val="baseline"/>
        <w:rPr>
          <w:rFonts w:ascii="Arial" w:hAnsi="Arial" w:cs="Arial"/>
          <w:b/>
          <w:bCs/>
          <w:sz w:val="22"/>
          <w:szCs w:val="22"/>
        </w:rPr>
      </w:pPr>
      <w:r>
        <w:rPr>
          <w:rFonts w:ascii="Arial" w:hAnsi="Arial" w:cs="Arial"/>
          <w:b/>
          <w:bCs/>
          <w:sz w:val="22"/>
          <w:szCs w:val="22"/>
          <w:rtl/>
          <w:lang w:bidi="ar"/>
        </w:rPr>
        <w:t>الإنجازات التي تحققت حتى الآن</w:t>
      </w:r>
    </w:p>
    <w:p w14:paraId="224A73E4" w14:textId="0FF9B36D" w:rsidR="00C066A2" w:rsidRPr="001B624B" w:rsidRDefault="00564311" w:rsidP="00C066A2">
      <w:pPr>
        <w:pStyle w:val="NormalWeb"/>
        <w:numPr>
          <w:ilvl w:val="0"/>
          <w:numId w:val="4"/>
        </w:numPr>
        <w:shd w:val="clear" w:color="auto" w:fill="FFFFFF"/>
        <w:bidi/>
        <w:spacing w:after="0"/>
        <w:textAlignment w:val="baseline"/>
        <w:rPr>
          <w:rFonts w:ascii="Arial" w:hAnsi="Arial" w:cs="Arial"/>
          <w:sz w:val="22"/>
          <w:szCs w:val="22"/>
        </w:rPr>
      </w:pPr>
      <w:r>
        <w:rPr>
          <w:rFonts w:ascii="Arial" w:hAnsi="Arial" w:cs="Arial"/>
          <w:b/>
          <w:bCs/>
          <w:sz w:val="22"/>
          <w:szCs w:val="22"/>
          <w:rtl/>
          <w:lang w:bidi="ar"/>
        </w:rPr>
        <w:t xml:space="preserve">إجراء سلسلة من مجموعات التركيز </w:t>
      </w:r>
      <w:r>
        <w:rPr>
          <w:rFonts w:ascii="Arial" w:hAnsi="Arial" w:cs="Arial"/>
          <w:sz w:val="22"/>
          <w:szCs w:val="22"/>
          <w:rtl/>
          <w:lang w:bidi="ar"/>
        </w:rPr>
        <w:t>بما في ذلك الشركاء المجتمعيين والمنظمات المجتمعية والموظفين**</w:t>
      </w:r>
    </w:p>
    <w:p w14:paraId="5E9F8ADE" w14:textId="196E407D" w:rsidR="00C066A2" w:rsidRPr="001B624B" w:rsidRDefault="00665B97" w:rsidP="00C066A2">
      <w:pPr>
        <w:pStyle w:val="NormalWeb"/>
        <w:numPr>
          <w:ilvl w:val="0"/>
          <w:numId w:val="4"/>
        </w:numPr>
        <w:shd w:val="clear" w:color="auto" w:fill="FFFFFF"/>
        <w:bidi/>
        <w:spacing w:after="0"/>
        <w:textAlignment w:val="baseline"/>
        <w:rPr>
          <w:rFonts w:ascii="Arial" w:hAnsi="Arial" w:cs="Arial"/>
          <w:sz w:val="22"/>
          <w:szCs w:val="22"/>
        </w:rPr>
      </w:pPr>
      <w:r>
        <w:rPr>
          <w:rFonts w:ascii="Arial" w:hAnsi="Arial" w:cs="Arial"/>
          <w:b/>
          <w:bCs/>
          <w:sz w:val="22"/>
          <w:szCs w:val="22"/>
          <w:rtl/>
          <w:lang w:bidi="ar"/>
        </w:rPr>
        <w:t>توسيع نطاق التوظيف</w:t>
      </w:r>
      <w:r>
        <w:rPr>
          <w:rFonts w:ascii="Arial" w:hAnsi="Arial" w:cs="Arial"/>
          <w:sz w:val="22"/>
          <w:szCs w:val="22"/>
          <w:rtl/>
          <w:lang w:bidi="ar"/>
        </w:rPr>
        <w:t xml:space="preserve"> مما يعزز قوة عاملة أكثر تنوعًا تعكس الأعمار، والثقافات، والقدرات، والهويات الجنسية، واللغات المتنوعة لتمثيل العملاء المتنوعين الذين نريد خدمتهم</w:t>
      </w:r>
    </w:p>
    <w:p w14:paraId="17A6C85B" w14:textId="60B01842" w:rsidR="00015BD5" w:rsidRPr="001B624B" w:rsidRDefault="00564311" w:rsidP="00C066A2">
      <w:pPr>
        <w:pStyle w:val="NormalWeb"/>
        <w:numPr>
          <w:ilvl w:val="0"/>
          <w:numId w:val="4"/>
        </w:numPr>
        <w:shd w:val="clear" w:color="auto" w:fill="FFFFFF"/>
        <w:bidi/>
        <w:spacing w:after="0"/>
        <w:textAlignment w:val="baseline"/>
        <w:rPr>
          <w:rFonts w:ascii="Arial" w:hAnsi="Arial" w:cs="Arial"/>
          <w:sz w:val="22"/>
          <w:szCs w:val="22"/>
        </w:rPr>
      </w:pPr>
      <w:r>
        <w:rPr>
          <w:rFonts w:ascii="Arial" w:hAnsi="Arial" w:cs="Arial"/>
          <w:b/>
          <w:bCs/>
          <w:sz w:val="22"/>
          <w:szCs w:val="22"/>
          <w:rtl/>
          <w:lang w:bidi="ar"/>
        </w:rPr>
        <w:t>زيادة إمكانية وصول</w:t>
      </w:r>
      <w:r>
        <w:rPr>
          <w:rFonts w:ascii="Arial" w:hAnsi="Arial" w:cs="Arial"/>
          <w:sz w:val="22"/>
          <w:szCs w:val="22"/>
          <w:rtl/>
          <w:lang w:bidi="ar"/>
        </w:rPr>
        <w:t xml:space="preserve"> البالغين الذين تبلغ أعمارهم أكثر من 50 عامًا الناطقين باللغة الفرنسية والروسية من خلال الترجمة الفورية للبرامج</w:t>
      </w:r>
    </w:p>
    <w:p w14:paraId="0B5A71DC" w14:textId="3187F0F5" w:rsidR="00BC70D0" w:rsidRPr="001B624B" w:rsidRDefault="00213ADE" w:rsidP="00C066A2">
      <w:pPr>
        <w:pStyle w:val="NormalWeb"/>
        <w:numPr>
          <w:ilvl w:val="0"/>
          <w:numId w:val="4"/>
        </w:numPr>
        <w:shd w:val="clear" w:color="auto" w:fill="FFFFFF"/>
        <w:bidi/>
        <w:spacing w:after="0"/>
        <w:textAlignment w:val="baseline"/>
        <w:rPr>
          <w:rFonts w:ascii="Arial" w:hAnsi="Arial" w:cs="Arial"/>
          <w:i/>
          <w:iCs/>
          <w:sz w:val="22"/>
          <w:szCs w:val="22"/>
        </w:rPr>
      </w:pPr>
      <w:r>
        <w:rPr>
          <w:rFonts w:ascii="Arial" w:hAnsi="Arial" w:cs="Arial"/>
          <w:b/>
          <w:bCs/>
          <w:sz w:val="22"/>
          <w:szCs w:val="22"/>
          <w:rtl/>
          <w:lang w:bidi="ar"/>
        </w:rPr>
        <w:t>توسيع نطاق وصولنا للناطقين باللغة الفرنسية</w:t>
      </w:r>
      <w:r>
        <w:rPr>
          <w:rFonts w:ascii="Arial" w:hAnsi="Arial" w:cs="Arial"/>
          <w:sz w:val="22"/>
          <w:szCs w:val="22"/>
          <w:rtl/>
          <w:lang w:bidi="ar"/>
        </w:rPr>
        <w:t xml:space="preserve"> من خلال زيادة إنفاقنا على وسائل الإعلام الفرنسية وتنمية شبكتنا عبر جداول استشارية متنوعة بالإضافة إلى مجموعات السفارديم والاستفادة منها</w:t>
      </w:r>
    </w:p>
    <w:p w14:paraId="5FE8828F" w14:textId="4733B9CD" w:rsidR="00564311" w:rsidRPr="001B624B" w:rsidRDefault="00564311" w:rsidP="00C066A2">
      <w:pPr>
        <w:pStyle w:val="NormalWeb"/>
        <w:numPr>
          <w:ilvl w:val="0"/>
          <w:numId w:val="4"/>
        </w:numPr>
        <w:shd w:val="clear" w:color="auto" w:fill="FFFFFF"/>
        <w:bidi/>
        <w:textAlignment w:val="baseline"/>
        <w:rPr>
          <w:rFonts w:ascii="Arial" w:hAnsi="Arial" w:cs="Arial"/>
          <w:i/>
          <w:iCs/>
          <w:sz w:val="22"/>
          <w:szCs w:val="22"/>
        </w:rPr>
      </w:pPr>
      <w:r>
        <w:rPr>
          <w:rFonts w:ascii="Arial" w:hAnsi="Arial" w:cs="Arial"/>
          <w:b/>
          <w:bCs/>
          <w:i/>
          <w:iCs/>
          <w:sz w:val="22"/>
          <w:szCs w:val="22"/>
          <w:rtl/>
          <w:lang w:bidi="ar"/>
        </w:rPr>
        <w:t xml:space="preserve">بناء شراكات </w:t>
      </w:r>
      <w:r>
        <w:rPr>
          <w:rFonts w:ascii="Arial" w:hAnsi="Arial" w:cs="Arial"/>
          <w:i/>
          <w:iCs/>
          <w:sz w:val="22"/>
          <w:szCs w:val="22"/>
          <w:rtl/>
          <w:lang w:bidi="ar"/>
        </w:rPr>
        <w:t xml:space="preserve">مع منظمات تعكس مجتمع الميم، وتنوع الأديان، والتنوع الثقافي، وإدماج الإعاقة، ومجتمع </w:t>
      </w:r>
      <w:r>
        <w:rPr>
          <w:rFonts w:ascii="Arial" w:hAnsi="Arial" w:cs="Arial"/>
          <w:i/>
          <w:iCs/>
          <w:sz w:val="22"/>
          <w:szCs w:val="22"/>
        </w:rPr>
        <w:t>CDN</w:t>
      </w:r>
      <w:r>
        <w:rPr>
          <w:rFonts w:ascii="Arial" w:hAnsi="Arial" w:cs="Arial"/>
          <w:i/>
          <w:iCs/>
          <w:sz w:val="22"/>
          <w:szCs w:val="22"/>
          <w:rtl/>
          <w:lang w:bidi="ar"/>
        </w:rPr>
        <w:t>. </w:t>
      </w:r>
    </w:p>
    <w:p w14:paraId="6E771FF3" w14:textId="64CA88E5" w:rsidR="00D115D5" w:rsidRPr="001B624B" w:rsidRDefault="00237854" w:rsidP="002E099D">
      <w:pPr>
        <w:pStyle w:val="NormalWeb"/>
        <w:numPr>
          <w:ilvl w:val="0"/>
          <w:numId w:val="4"/>
        </w:numPr>
        <w:shd w:val="clear" w:color="auto" w:fill="FFFFFF"/>
        <w:bidi/>
        <w:spacing w:after="0"/>
        <w:textAlignment w:val="baseline"/>
        <w:rPr>
          <w:rFonts w:ascii="Arial" w:hAnsi="Arial" w:cs="Arial"/>
          <w:i/>
          <w:iCs/>
          <w:sz w:val="22"/>
          <w:szCs w:val="22"/>
        </w:rPr>
      </w:pPr>
      <w:r>
        <w:rPr>
          <w:rFonts w:ascii="Arial" w:hAnsi="Arial" w:cs="Arial"/>
          <w:b/>
          <w:bCs/>
          <w:i/>
          <w:iCs/>
          <w:sz w:val="22"/>
          <w:szCs w:val="22"/>
          <w:rtl/>
          <w:lang w:bidi="ar"/>
        </w:rPr>
        <w:t>توفير تدريبات للموظفين والمتطوعين على أفضل ممارسات</w:t>
      </w:r>
      <w:r>
        <w:rPr>
          <w:rFonts w:ascii="Arial" w:hAnsi="Arial" w:cs="Arial"/>
          <w:i/>
          <w:iCs/>
          <w:sz w:val="22"/>
          <w:szCs w:val="22"/>
          <w:rtl/>
          <w:lang w:bidi="ar"/>
        </w:rPr>
        <w:t xml:space="preserve"> التنوع والمساواة والشمول</w:t>
      </w:r>
    </w:p>
    <w:p w14:paraId="3151D354" w14:textId="0FE87DA5" w:rsidR="009026AD" w:rsidRPr="00CF5BED" w:rsidRDefault="009026AD" w:rsidP="00D115D5">
      <w:pPr>
        <w:pStyle w:val="NormalWeb"/>
        <w:shd w:val="clear" w:color="auto" w:fill="FFFFFF"/>
        <w:bidi/>
        <w:spacing w:after="0"/>
        <w:textAlignment w:val="baseline"/>
        <w:rPr>
          <w:rFonts w:ascii="Arial" w:hAnsi="Arial" w:cs="Arial"/>
          <w:i/>
          <w:iCs/>
          <w:sz w:val="22"/>
          <w:szCs w:val="22"/>
        </w:rPr>
      </w:pPr>
      <w:r>
        <w:rPr>
          <w:rFonts w:ascii="Arial" w:hAnsi="Arial" w:cs="Arial"/>
          <w:i/>
          <w:iCs/>
          <w:sz w:val="22"/>
          <w:szCs w:val="22"/>
          <w:rtl/>
          <w:lang w:bidi="ar"/>
        </w:rPr>
        <w:lastRenderedPageBreak/>
        <w:t>** مجموعة التركيز رقم 1- اللغة الإنجليزية (</w:t>
      </w:r>
      <w:r>
        <w:rPr>
          <w:rFonts w:ascii="Arial" w:hAnsi="Arial" w:cs="Arial"/>
          <w:i/>
          <w:iCs/>
          <w:sz w:val="22"/>
          <w:szCs w:val="22"/>
        </w:rPr>
        <w:t>TIP OA, Gay and Grey, JEM Workshop, Beth Tikvah Synagogue, B’nai Brith residence</w:t>
      </w:r>
      <w:r>
        <w:rPr>
          <w:rFonts w:ascii="Arial" w:hAnsi="Arial" w:cs="Arial"/>
          <w:i/>
          <w:iCs/>
          <w:sz w:val="22"/>
          <w:szCs w:val="22"/>
          <w:rtl/>
          <w:lang w:bidi="ar"/>
        </w:rPr>
        <w:t xml:space="preserve">)  </w:t>
      </w:r>
      <w:r>
        <w:rPr>
          <w:rFonts w:ascii="Arial" w:hAnsi="Arial" w:cs="Arial"/>
          <w:sz w:val="22"/>
          <w:szCs w:val="22"/>
        </w:rPr>
        <w:br/>
      </w:r>
      <w:r>
        <w:rPr>
          <w:rFonts w:ascii="Arial" w:hAnsi="Arial" w:cs="Arial"/>
          <w:i/>
          <w:iCs/>
          <w:sz w:val="22"/>
          <w:szCs w:val="22"/>
          <w:rtl/>
          <w:lang w:bidi="ar"/>
        </w:rPr>
        <w:t>- مجموعة التركيز رقم 2- اللغة الفرنسية (</w:t>
      </w:r>
      <w:r>
        <w:rPr>
          <w:rFonts w:ascii="Arial" w:hAnsi="Arial" w:cs="Arial"/>
          <w:i/>
          <w:iCs/>
          <w:sz w:val="22"/>
          <w:szCs w:val="22"/>
        </w:rPr>
        <w:t>Centraide, Université du Québec à Trois-Rivières, Maison de la culture Cote des Neiges de CDN, Centre des Ainés Côte-des-Neiges, Centre des Femmes du monde à Côte-des-Neiges, Club Ami, Fondation Émergence-défense des droits LGBTQ+, SPVM district 26, Santé publique de Montréal</w:t>
      </w:r>
      <w:r>
        <w:rPr>
          <w:rFonts w:ascii="Arial" w:hAnsi="Arial" w:cs="Arial"/>
          <w:i/>
          <w:iCs/>
          <w:sz w:val="22"/>
          <w:szCs w:val="22"/>
          <w:rtl/>
          <w:lang w:bidi="ar"/>
        </w:rPr>
        <w:t>)</w:t>
      </w:r>
      <w:r>
        <w:rPr>
          <w:rFonts w:ascii="Arial" w:hAnsi="Arial" w:cs="Arial"/>
          <w:sz w:val="22"/>
          <w:szCs w:val="22"/>
        </w:rPr>
        <w:br/>
      </w:r>
      <w:r>
        <w:rPr>
          <w:rFonts w:ascii="Arial" w:hAnsi="Arial" w:cs="Arial"/>
          <w:i/>
          <w:iCs/>
          <w:sz w:val="22"/>
          <w:szCs w:val="22"/>
          <w:rtl/>
          <w:lang w:bidi="ar"/>
        </w:rPr>
        <w:t>- مجموعة التركيز رقم 3- موظفين من جميع الإدارات في المركز</w:t>
      </w:r>
    </w:p>
    <w:sectPr w:rsidR="009026AD" w:rsidRPr="00CF5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E9F"/>
    <w:multiLevelType w:val="multilevel"/>
    <w:tmpl w:val="40A6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7260B"/>
    <w:multiLevelType w:val="hybridMultilevel"/>
    <w:tmpl w:val="E9A27C3E"/>
    <w:lvl w:ilvl="0" w:tplc="F3861A64">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39906BD"/>
    <w:multiLevelType w:val="hybridMultilevel"/>
    <w:tmpl w:val="F33E2748"/>
    <w:lvl w:ilvl="0" w:tplc="9A8C8E5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4B47810"/>
    <w:multiLevelType w:val="hybridMultilevel"/>
    <w:tmpl w:val="8EB6529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2856E3"/>
    <w:multiLevelType w:val="hybridMultilevel"/>
    <w:tmpl w:val="EB384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8F2EE3"/>
    <w:multiLevelType w:val="hybridMultilevel"/>
    <w:tmpl w:val="E97246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C17B7F"/>
    <w:multiLevelType w:val="hybridMultilevel"/>
    <w:tmpl w:val="8EA4A756"/>
    <w:lvl w:ilvl="0" w:tplc="96CCB3C6">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558219C"/>
    <w:multiLevelType w:val="hybridMultilevel"/>
    <w:tmpl w:val="125493C2"/>
    <w:lvl w:ilvl="0" w:tplc="E14CAB7A">
      <w:start w:val="1"/>
      <w:numFmt w:val="bullet"/>
      <w:lvlText w:val="•"/>
      <w:lvlJc w:val="left"/>
      <w:pPr>
        <w:tabs>
          <w:tab w:val="num" w:pos="720"/>
        </w:tabs>
        <w:ind w:left="720" w:hanging="360"/>
      </w:pPr>
      <w:rPr>
        <w:rFonts w:ascii="Arial" w:hAnsi="Arial" w:hint="default"/>
      </w:rPr>
    </w:lvl>
    <w:lvl w:ilvl="1" w:tplc="04BE3584" w:tentative="1">
      <w:start w:val="1"/>
      <w:numFmt w:val="bullet"/>
      <w:lvlText w:val="•"/>
      <w:lvlJc w:val="left"/>
      <w:pPr>
        <w:tabs>
          <w:tab w:val="num" w:pos="1440"/>
        </w:tabs>
        <w:ind w:left="1440" w:hanging="360"/>
      </w:pPr>
      <w:rPr>
        <w:rFonts w:ascii="Arial" w:hAnsi="Arial" w:hint="default"/>
      </w:rPr>
    </w:lvl>
    <w:lvl w:ilvl="2" w:tplc="5E962608" w:tentative="1">
      <w:start w:val="1"/>
      <w:numFmt w:val="bullet"/>
      <w:lvlText w:val="•"/>
      <w:lvlJc w:val="left"/>
      <w:pPr>
        <w:tabs>
          <w:tab w:val="num" w:pos="2160"/>
        </w:tabs>
        <w:ind w:left="2160" w:hanging="360"/>
      </w:pPr>
      <w:rPr>
        <w:rFonts w:ascii="Arial" w:hAnsi="Arial" w:hint="default"/>
      </w:rPr>
    </w:lvl>
    <w:lvl w:ilvl="3" w:tplc="8772C09A" w:tentative="1">
      <w:start w:val="1"/>
      <w:numFmt w:val="bullet"/>
      <w:lvlText w:val="•"/>
      <w:lvlJc w:val="left"/>
      <w:pPr>
        <w:tabs>
          <w:tab w:val="num" w:pos="2880"/>
        </w:tabs>
        <w:ind w:left="2880" w:hanging="360"/>
      </w:pPr>
      <w:rPr>
        <w:rFonts w:ascii="Arial" w:hAnsi="Arial" w:hint="default"/>
      </w:rPr>
    </w:lvl>
    <w:lvl w:ilvl="4" w:tplc="7D64E66E" w:tentative="1">
      <w:start w:val="1"/>
      <w:numFmt w:val="bullet"/>
      <w:lvlText w:val="•"/>
      <w:lvlJc w:val="left"/>
      <w:pPr>
        <w:tabs>
          <w:tab w:val="num" w:pos="3600"/>
        </w:tabs>
        <w:ind w:left="3600" w:hanging="360"/>
      </w:pPr>
      <w:rPr>
        <w:rFonts w:ascii="Arial" w:hAnsi="Arial" w:hint="default"/>
      </w:rPr>
    </w:lvl>
    <w:lvl w:ilvl="5" w:tplc="9C90C15C" w:tentative="1">
      <w:start w:val="1"/>
      <w:numFmt w:val="bullet"/>
      <w:lvlText w:val="•"/>
      <w:lvlJc w:val="left"/>
      <w:pPr>
        <w:tabs>
          <w:tab w:val="num" w:pos="4320"/>
        </w:tabs>
        <w:ind w:left="4320" w:hanging="360"/>
      </w:pPr>
      <w:rPr>
        <w:rFonts w:ascii="Arial" w:hAnsi="Arial" w:hint="default"/>
      </w:rPr>
    </w:lvl>
    <w:lvl w:ilvl="6" w:tplc="576EB1E8" w:tentative="1">
      <w:start w:val="1"/>
      <w:numFmt w:val="bullet"/>
      <w:lvlText w:val="•"/>
      <w:lvlJc w:val="left"/>
      <w:pPr>
        <w:tabs>
          <w:tab w:val="num" w:pos="5040"/>
        </w:tabs>
        <w:ind w:left="5040" w:hanging="360"/>
      </w:pPr>
      <w:rPr>
        <w:rFonts w:ascii="Arial" w:hAnsi="Arial" w:hint="default"/>
      </w:rPr>
    </w:lvl>
    <w:lvl w:ilvl="7" w:tplc="B7BC3886" w:tentative="1">
      <w:start w:val="1"/>
      <w:numFmt w:val="bullet"/>
      <w:lvlText w:val="•"/>
      <w:lvlJc w:val="left"/>
      <w:pPr>
        <w:tabs>
          <w:tab w:val="num" w:pos="5760"/>
        </w:tabs>
        <w:ind w:left="5760" w:hanging="360"/>
      </w:pPr>
      <w:rPr>
        <w:rFonts w:ascii="Arial" w:hAnsi="Arial" w:hint="default"/>
      </w:rPr>
    </w:lvl>
    <w:lvl w:ilvl="8" w:tplc="E7C4D0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373F5B"/>
    <w:multiLevelType w:val="hybridMultilevel"/>
    <w:tmpl w:val="FDAC3FBA"/>
    <w:lvl w:ilvl="0" w:tplc="CEE0EDB0">
      <w:start w:val="9"/>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EC8100C"/>
    <w:multiLevelType w:val="hybridMultilevel"/>
    <w:tmpl w:val="17207A38"/>
    <w:lvl w:ilvl="0" w:tplc="46A233F6">
      <w:start w:val="1"/>
      <w:numFmt w:val="decimal"/>
      <w:lvlText w:val="%1."/>
      <w:lvlJc w:val="left"/>
      <w:pPr>
        <w:ind w:left="360" w:hanging="360"/>
      </w:pPr>
      <w:rPr>
        <w:rFonts w:ascii="Arial" w:eastAsia="Times New Roman" w:hAnsi="Arial" w:cs="Arial"/>
        <w:b/>
        <w:bCs/>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0" w15:restartNumberingAfterBreak="0">
    <w:nsid w:val="5C654801"/>
    <w:multiLevelType w:val="hybridMultilevel"/>
    <w:tmpl w:val="08447EC0"/>
    <w:lvl w:ilvl="0" w:tplc="03289550">
      <w:start w:val="1"/>
      <w:numFmt w:val="bullet"/>
      <w:lvlText w:val="•"/>
      <w:lvlJc w:val="left"/>
      <w:pPr>
        <w:tabs>
          <w:tab w:val="num" w:pos="720"/>
        </w:tabs>
        <w:ind w:left="720" w:hanging="360"/>
      </w:pPr>
      <w:rPr>
        <w:rFonts w:ascii="Arial" w:hAnsi="Arial" w:hint="default"/>
      </w:rPr>
    </w:lvl>
    <w:lvl w:ilvl="1" w:tplc="B2F0537E" w:tentative="1">
      <w:start w:val="1"/>
      <w:numFmt w:val="bullet"/>
      <w:lvlText w:val="•"/>
      <w:lvlJc w:val="left"/>
      <w:pPr>
        <w:tabs>
          <w:tab w:val="num" w:pos="1440"/>
        </w:tabs>
        <w:ind w:left="1440" w:hanging="360"/>
      </w:pPr>
      <w:rPr>
        <w:rFonts w:ascii="Arial" w:hAnsi="Arial" w:hint="default"/>
      </w:rPr>
    </w:lvl>
    <w:lvl w:ilvl="2" w:tplc="6096BF12" w:tentative="1">
      <w:start w:val="1"/>
      <w:numFmt w:val="bullet"/>
      <w:lvlText w:val="•"/>
      <w:lvlJc w:val="left"/>
      <w:pPr>
        <w:tabs>
          <w:tab w:val="num" w:pos="2160"/>
        </w:tabs>
        <w:ind w:left="2160" w:hanging="360"/>
      </w:pPr>
      <w:rPr>
        <w:rFonts w:ascii="Arial" w:hAnsi="Arial" w:hint="default"/>
      </w:rPr>
    </w:lvl>
    <w:lvl w:ilvl="3" w:tplc="CA06DA3A" w:tentative="1">
      <w:start w:val="1"/>
      <w:numFmt w:val="bullet"/>
      <w:lvlText w:val="•"/>
      <w:lvlJc w:val="left"/>
      <w:pPr>
        <w:tabs>
          <w:tab w:val="num" w:pos="2880"/>
        </w:tabs>
        <w:ind w:left="2880" w:hanging="360"/>
      </w:pPr>
      <w:rPr>
        <w:rFonts w:ascii="Arial" w:hAnsi="Arial" w:hint="default"/>
      </w:rPr>
    </w:lvl>
    <w:lvl w:ilvl="4" w:tplc="95508A5A" w:tentative="1">
      <w:start w:val="1"/>
      <w:numFmt w:val="bullet"/>
      <w:lvlText w:val="•"/>
      <w:lvlJc w:val="left"/>
      <w:pPr>
        <w:tabs>
          <w:tab w:val="num" w:pos="3600"/>
        </w:tabs>
        <w:ind w:left="3600" w:hanging="360"/>
      </w:pPr>
      <w:rPr>
        <w:rFonts w:ascii="Arial" w:hAnsi="Arial" w:hint="default"/>
      </w:rPr>
    </w:lvl>
    <w:lvl w:ilvl="5" w:tplc="012EB9DA" w:tentative="1">
      <w:start w:val="1"/>
      <w:numFmt w:val="bullet"/>
      <w:lvlText w:val="•"/>
      <w:lvlJc w:val="left"/>
      <w:pPr>
        <w:tabs>
          <w:tab w:val="num" w:pos="4320"/>
        </w:tabs>
        <w:ind w:left="4320" w:hanging="360"/>
      </w:pPr>
      <w:rPr>
        <w:rFonts w:ascii="Arial" w:hAnsi="Arial" w:hint="default"/>
      </w:rPr>
    </w:lvl>
    <w:lvl w:ilvl="6" w:tplc="6C6E549E" w:tentative="1">
      <w:start w:val="1"/>
      <w:numFmt w:val="bullet"/>
      <w:lvlText w:val="•"/>
      <w:lvlJc w:val="left"/>
      <w:pPr>
        <w:tabs>
          <w:tab w:val="num" w:pos="5040"/>
        </w:tabs>
        <w:ind w:left="5040" w:hanging="360"/>
      </w:pPr>
      <w:rPr>
        <w:rFonts w:ascii="Arial" w:hAnsi="Arial" w:hint="default"/>
      </w:rPr>
    </w:lvl>
    <w:lvl w:ilvl="7" w:tplc="84703B62" w:tentative="1">
      <w:start w:val="1"/>
      <w:numFmt w:val="bullet"/>
      <w:lvlText w:val="•"/>
      <w:lvlJc w:val="left"/>
      <w:pPr>
        <w:tabs>
          <w:tab w:val="num" w:pos="5760"/>
        </w:tabs>
        <w:ind w:left="5760" w:hanging="360"/>
      </w:pPr>
      <w:rPr>
        <w:rFonts w:ascii="Arial" w:hAnsi="Arial" w:hint="default"/>
      </w:rPr>
    </w:lvl>
    <w:lvl w:ilvl="8" w:tplc="AC6426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A85539"/>
    <w:multiLevelType w:val="hybridMultilevel"/>
    <w:tmpl w:val="6D6C5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F35909"/>
    <w:multiLevelType w:val="hybridMultilevel"/>
    <w:tmpl w:val="6B342B82"/>
    <w:lvl w:ilvl="0" w:tplc="96CCB3C6">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6D54B18A">
      <w:start w:val="1"/>
      <w:numFmt w:val="lowerRoman"/>
      <w:lvlText w:val="%3."/>
      <w:lvlJc w:val="right"/>
      <w:pPr>
        <w:ind w:left="2160" w:hanging="180"/>
      </w:pPr>
      <w:rPr>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3A0A4F"/>
    <w:multiLevelType w:val="hybridMultilevel"/>
    <w:tmpl w:val="2DFC6408"/>
    <w:lvl w:ilvl="0" w:tplc="13E224B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3C2944"/>
    <w:multiLevelType w:val="hybridMultilevel"/>
    <w:tmpl w:val="90E89718"/>
    <w:lvl w:ilvl="0" w:tplc="0B866F84">
      <w:start w:val="1"/>
      <w:numFmt w:val="decimal"/>
      <w:lvlText w:val="%1."/>
      <w:lvlJc w:val="left"/>
      <w:pPr>
        <w:tabs>
          <w:tab w:val="num" w:pos="720"/>
        </w:tabs>
        <w:ind w:left="720" w:hanging="360"/>
      </w:pPr>
    </w:lvl>
    <w:lvl w:ilvl="1" w:tplc="AE603518" w:tentative="1">
      <w:start w:val="1"/>
      <w:numFmt w:val="decimal"/>
      <w:lvlText w:val="%2."/>
      <w:lvlJc w:val="left"/>
      <w:pPr>
        <w:tabs>
          <w:tab w:val="num" w:pos="1440"/>
        </w:tabs>
        <w:ind w:left="1440" w:hanging="360"/>
      </w:pPr>
    </w:lvl>
    <w:lvl w:ilvl="2" w:tplc="4D506EE2" w:tentative="1">
      <w:start w:val="1"/>
      <w:numFmt w:val="decimal"/>
      <w:lvlText w:val="%3."/>
      <w:lvlJc w:val="left"/>
      <w:pPr>
        <w:tabs>
          <w:tab w:val="num" w:pos="2160"/>
        </w:tabs>
        <w:ind w:left="2160" w:hanging="360"/>
      </w:pPr>
    </w:lvl>
    <w:lvl w:ilvl="3" w:tplc="5AF845AA" w:tentative="1">
      <w:start w:val="1"/>
      <w:numFmt w:val="decimal"/>
      <w:lvlText w:val="%4."/>
      <w:lvlJc w:val="left"/>
      <w:pPr>
        <w:tabs>
          <w:tab w:val="num" w:pos="2880"/>
        </w:tabs>
        <w:ind w:left="2880" w:hanging="360"/>
      </w:pPr>
    </w:lvl>
    <w:lvl w:ilvl="4" w:tplc="166ED304" w:tentative="1">
      <w:start w:val="1"/>
      <w:numFmt w:val="decimal"/>
      <w:lvlText w:val="%5."/>
      <w:lvlJc w:val="left"/>
      <w:pPr>
        <w:tabs>
          <w:tab w:val="num" w:pos="3600"/>
        </w:tabs>
        <w:ind w:left="3600" w:hanging="360"/>
      </w:pPr>
    </w:lvl>
    <w:lvl w:ilvl="5" w:tplc="FCC849DA" w:tentative="1">
      <w:start w:val="1"/>
      <w:numFmt w:val="decimal"/>
      <w:lvlText w:val="%6."/>
      <w:lvlJc w:val="left"/>
      <w:pPr>
        <w:tabs>
          <w:tab w:val="num" w:pos="4320"/>
        </w:tabs>
        <w:ind w:left="4320" w:hanging="360"/>
      </w:pPr>
    </w:lvl>
    <w:lvl w:ilvl="6" w:tplc="91E47B70" w:tentative="1">
      <w:start w:val="1"/>
      <w:numFmt w:val="decimal"/>
      <w:lvlText w:val="%7."/>
      <w:lvlJc w:val="left"/>
      <w:pPr>
        <w:tabs>
          <w:tab w:val="num" w:pos="5040"/>
        </w:tabs>
        <w:ind w:left="5040" w:hanging="360"/>
      </w:pPr>
    </w:lvl>
    <w:lvl w:ilvl="7" w:tplc="01D6AA46" w:tentative="1">
      <w:start w:val="1"/>
      <w:numFmt w:val="decimal"/>
      <w:lvlText w:val="%8."/>
      <w:lvlJc w:val="left"/>
      <w:pPr>
        <w:tabs>
          <w:tab w:val="num" w:pos="5760"/>
        </w:tabs>
        <w:ind w:left="5760" w:hanging="360"/>
      </w:pPr>
    </w:lvl>
    <w:lvl w:ilvl="8" w:tplc="C0F0719A" w:tentative="1">
      <w:start w:val="1"/>
      <w:numFmt w:val="decimal"/>
      <w:lvlText w:val="%9."/>
      <w:lvlJc w:val="left"/>
      <w:pPr>
        <w:tabs>
          <w:tab w:val="num" w:pos="6480"/>
        </w:tabs>
        <w:ind w:left="6480" w:hanging="360"/>
      </w:pPr>
    </w:lvl>
  </w:abstractNum>
  <w:abstractNum w:abstractNumId="15" w15:restartNumberingAfterBreak="0">
    <w:nsid w:val="7EB24CF7"/>
    <w:multiLevelType w:val="hybridMultilevel"/>
    <w:tmpl w:val="E7B825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5669430">
    <w:abstractNumId w:val="4"/>
  </w:num>
  <w:num w:numId="2" w16cid:durableId="529806322">
    <w:abstractNumId w:val="12"/>
  </w:num>
  <w:num w:numId="3" w16cid:durableId="908075052">
    <w:abstractNumId w:val="0"/>
  </w:num>
  <w:num w:numId="4" w16cid:durableId="367409880">
    <w:abstractNumId w:val="9"/>
  </w:num>
  <w:num w:numId="5" w16cid:durableId="1236940329">
    <w:abstractNumId w:val="14"/>
  </w:num>
  <w:num w:numId="6" w16cid:durableId="1596396951">
    <w:abstractNumId w:val="8"/>
  </w:num>
  <w:num w:numId="7" w16cid:durableId="1826777890">
    <w:abstractNumId w:val="2"/>
  </w:num>
  <w:num w:numId="8" w16cid:durableId="1899246897">
    <w:abstractNumId w:val="7"/>
  </w:num>
  <w:num w:numId="9" w16cid:durableId="948661083">
    <w:abstractNumId w:val="10"/>
  </w:num>
  <w:num w:numId="10" w16cid:durableId="739407478">
    <w:abstractNumId w:val="11"/>
  </w:num>
  <w:num w:numId="11" w16cid:durableId="1785730866">
    <w:abstractNumId w:val="3"/>
  </w:num>
  <w:num w:numId="12" w16cid:durableId="521170368">
    <w:abstractNumId w:val="5"/>
  </w:num>
  <w:num w:numId="13" w16cid:durableId="684211790">
    <w:abstractNumId w:val="1"/>
  </w:num>
  <w:num w:numId="14" w16cid:durableId="42365275">
    <w:abstractNumId w:val="15"/>
  </w:num>
  <w:num w:numId="15" w16cid:durableId="161702503">
    <w:abstractNumId w:val="6"/>
  </w:num>
  <w:num w:numId="16" w16cid:durableId="13171094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88"/>
    <w:rsid w:val="00015BD5"/>
    <w:rsid w:val="00042418"/>
    <w:rsid w:val="00063B43"/>
    <w:rsid w:val="000B7438"/>
    <w:rsid w:val="000E3203"/>
    <w:rsid w:val="000F295B"/>
    <w:rsid w:val="00144566"/>
    <w:rsid w:val="001B624B"/>
    <w:rsid w:val="00213ADE"/>
    <w:rsid w:val="00237854"/>
    <w:rsid w:val="00237A82"/>
    <w:rsid w:val="002A569A"/>
    <w:rsid w:val="002F0F96"/>
    <w:rsid w:val="003648D0"/>
    <w:rsid w:val="00373BB2"/>
    <w:rsid w:val="003850D4"/>
    <w:rsid w:val="003C0E71"/>
    <w:rsid w:val="0040007A"/>
    <w:rsid w:val="004010AC"/>
    <w:rsid w:val="00403F33"/>
    <w:rsid w:val="004047FB"/>
    <w:rsid w:val="00424AB3"/>
    <w:rsid w:val="00433EF8"/>
    <w:rsid w:val="0047570E"/>
    <w:rsid w:val="00476AA5"/>
    <w:rsid w:val="0048254D"/>
    <w:rsid w:val="00484269"/>
    <w:rsid w:val="00490D7F"/>
    <w:rsid w:val="005122E5"/>
    <w:rsid w:val="0055064E"/>
    <w:rsid w:val="00564311"/>
    <w:rsid w:val="00594BAD"/>
    <w:rsid w:val="005A362F"/>
    <w:rsid w:val="005C06BD"/>
    <w:rsid w:val="005F774E"/>
    <w:rsid w:val="00636218"/>
    <w:rsid w:val="00665B97"/>
    <w:rsid w:val="006C0E7D"/>
    <w:rsid w:val="006D53E3"/>
    <w:rsid w:val="006E2581"/>
    <w:rsid w:val="006E5B2A"/>
    <w:rsid w:val="00725759"/>
    <w:rsid w:val="00730537"/>
    <w:rsid w:val="007A27F2"/>
    <w:rsid w:val="007C2ADA"/>
    <w:rsid w:val="007C6754"/>
    <w:rsid w:val="007E0437"/>
    <w:rsid w:val="007F13BF"/>
    <w:rsid w:val="00806117"/>
    <w:rsid w:val="008809C6"/>
    <w:rsid w:val="008B17C6"/>
    <w:rsid w:val="008C7C88"/>
    <w:rsid w:val="008D08CE"/>
    <w:rsid w:val="008E7252"/>
    <w:rsid w:val="009026AD"/>
    <w:rsid w:val="00981994"/>
    <w:rsid w:val="009C1D7E"/>
    <w:rsid w:val="009E0727"/>
    <w:rsid w:val="009E533E"/>
    <w:rsid w:val="00A17948"/>
    <w:rsid w:val="00A258F6"/>
    <w:rsid w:val="00A52920"/>
    <w:rsid w:val="00A91CD8"/>
    <w:rsid w:val="00B613F6"/>
    <w:rsid w:val="00B923E6"/>
    <w:rsid w:val="00BB07A8"/>
    <w:rsid w:val="00BC70D0"/>
    <w:rsid w:val="00BD63BA"/>
    <w:rsid w:val="00BF2CE4"/>
    <w:rsid w:val="00C066A2"/>
    <w:rsid w:val="00C21EE7"/>
    <w:rsid w:val="00C801D5"/>
    <w:rsid w:val="00C8336A"/>
    <w:rsid w:val="00CE4964"/>
    <w:rsid w:val="00CF302D"/>
    <w:rsid w:val="00CF5BED"/>
    <w:rsid w:val="00D0510F"/>
    <w:rsid w:val="00D115D5"/>
    <w:rsid w:val="00D77271"/>
    <w:rsid w:val="00DD0CBC"/>
    <w:rsid w:val="00DF6567"/>
    <w:rsid w:val="00E1113F"/>
    <w:rsid w:val="00E51838"/>
    <w:rsid w:val="00E82A60"/>
    <w:rsid w:val="00EC2C4B"/>
    <w:rsid w:val="00FB3886"/>
    <w:rsid w:val="00FB579B"/>
    <w:rsid w:val="00FE4D2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214D"/>
  <w15:chartTrackingRefBased/>
  <w15:docId w15:val="{3EE3909E-2382-4CCF-9FC1-B89E508E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9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52920"/>
    <w:rPr>
      <w:b/>
      <w:bCs/>
    </w:rPr>
  </w:style>
  <w:style w:type="paragraph" w:styleId="ListParagraph">
    <w:name w:val="List Paragraph"/>
    <w:basedOn w:val="Normal"/>
    <w:uiPriority w:val="34"/>
    <w:qFormat/>
    <w:rsid w:val="00433EF8"/>
    <w:pPr>
      <w:ind w:left="720"/>
      <w:contextualSpacing/>
    </w:pPr>
  </w:style>
  <w:style w:type="character" w:styleId="Emphasis">
    <w:name w:val="Emphasis"/>
    <w:basedOn w:val="DefaultParagraphFont"/>
    <w:uiPriority w:val="20"/>
    <w:qFormat/>
    <w:rsid w:val="000E3203"/>
    <w:rPr>
      <w:i/>
      <w:iCs/>
    </w:rPr>
  </w:style>
  <w:style w:type="table" w:styleId="TableGrid">
    <w:name w:val="Table Grid"/>
    <w:basedOn w:val="TableNormal"/>
    <w:uiPriority w:val="39"/>
    <w:rsid w:val="00FE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0518">
      <w:bodyDiv w:val="1"/>
      <w:marLeft w:val="0"/>
      <w:marRight w:val="0"/>
      <w:marTop w:val="0"/>
      <w:marBottom w:val="0"/>
      <w:divBdr>
        <w:top w:val="none" w:sz="0" w:space="0" w:color="auto"/>
        <w:left w:val="none" w:sz="0" w:space="0" w:color="auto"/>
        <w:bottom w:val="none" w:sz="0" w:space="0" w:color="auto"/>
        <w:right w:val="none" w:sz="0" w:space="0" w:color="auto"/>
      </w:divBdr>
    </w:div>
    <w:div w:id="626932450">
      <w:bodyDiv w:val="1"/>
      <w:marLeft w:val="0"/>
      <w:marRight w:val="0"/>
      <w:marTop w:val="0"/>
      <w:marBottom w:val="0"/>
      <w:divBdr>
        <w:top w:val="none" w:sz="0" w:space="0" w:color="auto"/>
        <w:left w:val="none" w:sz="0" w:space="0" w:color="auto"/>
        <w:bottom w:val="none" w:sz="0" w:space="0" w:color="auto"/>
        <w:right w:val="none" w:sz="0" w:space="0" w:color="auto"/>
      </w:divBdr>
      <w:divsChild>
        <w:div w:id="728963078">
          <w:marLeft w:val="446"/>
          <w:marRight w:val="0"/>
          <w:marTop w:val="0"/>
          <w:marBottom w:val="0"/>
          <w:divBdr>
            <w:top w:val="none" w:sz="0" w:space="0" w:color="auto"/>
            <w:left w:val="none" w:sz="0" w:space="0" w:color="auto"/>
            <w:bottom w:val="none" w:sz="0" w:space="0" w:color="auto"/>
            <w:right w:val="none" w:sz="0" w:space="0" w:color="auto"/>
          </w:divBdr>
        </w:div>
      </w:divsChild>
    </w:div>
    <w:div w:id="821041016">
      <w:bodyDiv w:val="1"/>
      <w:marLeft w:val="0"/>
      <w:marRight w:val="0"/>
      <w:marTop w:val="0"/>
      <w:marBottom w:val="0"/>
      <w:divBdr>
        <w:top w:val="none" w:sz="0" w:space="0" w:color="auto"/>
        <w:left w:val="none" w:sz="0" w:space="0" w:color="auto"/>
        <w:bottom w:val="none" w:sz="0" w:space="0" w:color="auto"/>
        <w:right w:val="none" w:sz="0" w:space="0" w:color="auto"/>
      </w:divBdr>
    </w:div>
    <w:div w:id="934217221">
      <w:bodyDiv w:val="1"/>
      <w:marLeft w:val="0"/>
      <w:marRight w:val="0"/>
      <w:marTop w:val="0"/>
      <w:marBottom w:val="0"/>
      <w:divBdr>
        <w:top w:val="none" w:sz="0" w:space="0" w:color="auto"/>
        <w:left w:val="none" w:sz="0" w:space="0" w:color="auto"/>
        <w:bottom w:val="none" w:sz="0" w:space="0" w:color="auto"/>
        <w:right w:val="none" w:sz="0" w:space="0" w:color="auto"/>
      </w:divBdr>
    </w:div>
    <w:div w:id="1364746061">
      <w:bodyDiv w:val="1"/>
      <w:marLeft w:val="0"/>
      <w:marRight w:val="0"/>
      <w:marTop w:val="0"/>
      <w:marBottom w:val="0"/>
      <w:divBdr>
        <w:top w:val="none" w:sz="0" w:space="0" w:color="auto"/>
        <w:left w:val="none" w:sz="0" w:space="0" w:color="auto"/>
        <w:bottom w:val="none" w:sz="0" w:space="0" w:color="auto"/>
        <w:right w:val="none" w:sz="0" w:space="0" w:color="auto"/>
      </w:divBdr>
    </w:div>
    <w:div w:id="1526410100">
      <w:bodyDiv w:val="1"/>
      <w:marLeft w:val="0"/>
      <w:marRight w:val="0"/>
      <w:marTop w:val="0"/>
      <w:marBottom w:val="0"/>
      <w:divBdr>
        <w:top w:val="none" w:sz="0" w:space="0" w:color="auto"/>
        <w:left w:val="none" w:sz="0" w:space="0" w:color="auto"/>
        <w:bottom w:val="none" w:sz="0" w:space="0" w:color="auto"/>
        <w:right w:val="none" w:sz="0" w:space="0" w:color="auto"/>
      </w:divBdr>
      <w:divsChild>
        <w:div w:id="698892018">
          <w:marLeft w:val="720"/>
          <w:marRight w:val="0"/>
          <w:marTop w:val="0"/>
          <w:marBottom w:val="0"/>
          <w:divBdr>
            <w:top w:val="none" w:sz="0" w:space="0" w:color="auto"/>
            <w:left w:val="none" w:sz="0" w:space="0" w:color="auto"/>
            <w:bottom w:val="none" w:sz="0" w:space="0" w:color="auto"/>
            <w:right w:val="none" w:sz="0" w:space="0" w:color="auto"/>
          </w:divBdr>
        </w:div>
        <w:div w:id="313880522">
          <w:marLeft w:val="720"/>
          <w:marRight w:val="0"/>
          <w:marTop w:val="0"/>
          <w:marBottom w:val="0"/>
          <w:divBdr>
            <w:top w:val="none" w:sz="0" w:space="0" w:color="auto"/>
            <w:left w:val="none" w:sz="0" w:space="0" w:color="auto"/>
            <w:bottom w:val="none" w:sz="0" w:space="0" w:color="auto"/>
            <w:right w:val="none" w:sz="0" w:space="0" w:color="auto"/>
          </w:divBdr>
        </w:div>
        <w:div w:id="1900285955">
          <w:marLeft w:val="720"/>
          <w:marRight w:val="0"/>
          <w:marTop w:val="0"/>
          <w:marBottom w:val="0"/>
          <w:divBdr>
            <w:top w:val="none" w:sz="0" w:space="0" w:color="auto"/>
            <w:left w:val="none" w:sz="0" w:space="0" w:color="auto"/>
            <w:bottom w:val="none" w:sz="0" w:space="0" w:color="auto"/>
            <w:right w:val="none" w:sz="0" w:space="0" w:color="auto"/>
          </w:divBdr>
        </w:div>
      </w:divsChild>
    </w:div>
    <w:div w:id="1564633317">
      <w:bodyDiv w:val="1"/>
      <w:marLeft w:val="0"/>
      <w:marRight w:val="0"/>
      <w:marTop w:val="0"/>
      <w:marBottom w:val="0"/>
      <w:divBdr>
        <w:top w:val="none" w:sz="0" w:space="0" w:color="auto"/>
        <w:left w:val="none" w:sz="0" w:space="0" w:color="auto"/>
        <w:bottom w:val="none" w:sz="0" w:space="0" w:color="auto"/>
        <w:right w:val="none" w:sz="0" w:space="0" w:color="auto"/>
      </w:divBdr>
    </w:div>
    <w:div w:id="1847088744">
      <w:bodyDiv w:val="1"/>
      <w:marLeft w:val="0"/>
      <w:marRight w:val="0"/>
      <w:marTop w:val="0"/>
      <w:marBottom w:val="0"/>
      <w:divBdr>
        <w:top w:val="none" w:sz="0" w:space="0" w:color="auto"/>
        <w:left w:val="none" w:sz="0" w:space="0" w:color="auto"/>
        <w:bottom w:val="none" w:sz="0" w:space="0" w:color="auto"/>
        <w:right w:val="none" w:sz="0" w:space="0" w:color="auto"/>
      </w:divBdr>
    </w:div>
    <w:div w:id="2075276479">
      <w:bodyDiv w:val="1"/>
      <w:marLeft w:val="0"/>
      <w:marRight w:val="0"/>
      <w:marTop w:val="0"/>
      <w:marBottom w:val="0"/>
      <w:divBdr>
        <w:top w:val="none" w:sz="0" w:space="0" w:color="auto"/>
        <w:left w:val="none" w:sz="0" w:space="0" w:color="auto"/>
        <w:bottom w:val="none" w:sz="0" w:space="0" w:color="auto"/>
        <w:right w:val="none" w:sz="0" w:space="0" w:color="auto"/>
      </w:divBdr>
      <w:divsChild>
        <w:div w:id="1547990498">
          <w:marLeft w:val="446"/>
          <w:marRight w:val="0"/>
          <w:marTop w:val="0"/>
          <w:marBottom w:val="0"/>
          <w:divBdr>
            <w:top w:val="none" w:sz="0" w:space="0" w:color="auto"/>
            <w:left w:val="none" w:sz="0" w:space="0" w:color="auto"/>
            <w:bottom w:val="none" w:sz="0" w:space="0" w:color="auto"/>
            <w:right w:val="none" w:sz="0" w:space="0" w:color="auto"/>
          </w:divBdr>
        </w:div>
        <w:div w:id="1978025909">
          <w:marLeft w:val="446"/>
          <w:marRight w:val="0"/>
          <w:marTop w:val="0"/>
          <w:marBottom w:val="0"/>
          <w:divBdr>
            <w:top w:val="none" w:sz="0" w:space="0" w:color="auto"/>
            <w:left w:val="none" w:sz="0" w:space="0" w:color="auto"/>
            <w:bottom w:val="none" w:sz="0" w:space="0" w:color="auto"/>
            <w:right w:val="none" w:sz="0" w:space="0" w:color="auto"/>
          </w:divBdr>
        </w:div>
      </w:divsChild>
    </w:div>
    <w:div w:id="20894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9EF2D2D61B44890D63CED46E8BF94" ma:contentTypeVersion="16" ma:contentTypeDescription="Create a new document." ma:contentTypeScope="" ma:versionID="89c4a6c81280ab189bf96e873fa32e2e">
  <xsd:schema xmlns:xsd="http://www.w3.org/2001/XMLSchema" xmlns:xs="http://www.w3.org/2001/XMLSchema" xmlns:p="http://schemas.microsoft.com/office/2006/metadata/properties" xmlns:ns2="b88db12d-2e99-4c5c-a233-4a4a0c2acd26" xmlns:ns3="4cc5f488-8a31-4952-b862-fbdca3554c38" targetNamespace="http://schemas.microsoft.com/office/2006/metadata/properties" ma:root="true" ma:fieldsID="d9b47b2ae867c275ba4ed63659652c6c" ns2:_="" ns3:_="">
    <xsd:import namespace="b88db12d-2e99-4c5c-a233-4a4a0c2acd26"/>
    <xsd:import namespace="4cc5f488-8a31-4952-b862-fbdca3554c38"/>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db12d-2e99-4c5c-a233-4a4a0c2acd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44f8b9-ff0d-49c8-90d9-213bc5de43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5f488-8a31-4952-b862-fbdca3554c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fb96aa3-e4c0-4ce9-902d-39734929d3c1}" ma:internalName="TaxCatchAll" ma:showField="CatchAllData" ma:web="4cc5f488-8a31-4952-b862-fbdca3554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8db12d-2e99-4c5c-a233-4a4a0c2acd26">
      <Terms xmlns="http://schemas.microsoft.com/office/infopath/2007/PartnerControls"/>
    </lcf76f155ced4ddcb4097134ff3c332f>
    <TaxCatchAll xmlns="4cc5f488-8a31-4952-b862-fbdca3554c38" xsi:nil="true"/>
  </documentManagement>
</p:properties>
</file>

<file path=customXml/itemProps1.xml><?xml version="1.0" encoding="utf-8"?>
<ds:datastoreItem xmlns:ds="http://schemas.openxmlformats.org/officeDocument/2006/customXml" ds:itemID="{E0E52CA1-2FC9-4C35-B842-D53138A16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db12d-2e99-4c5c-a233-4a4a0c2acd26"/>
    <ds:schemaRef ds:uri="4cc5f488-8a31-4952-b862-fbdca3554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5E679-689A-48A9-AAAA-B0769683F94A}">
  <ds:schemaRefs>
    <ds:schemaRef ds:uri="http://schemas.microsoft.com/sharepoint/v3/contenttype/forms"/>
  </ds:schemaRefs>
</ds:datastoreItem>
</file>

<file path=customXml/itemProps3.xml><?xml version="1.0" encoding="utf-8"?>
<ds:datastoreItem xmlns:ds="http://schemas.openxmlformats.org/officeDocument/2006/customXml" ds:itemID="{A6F8CEE0-4C38-4A3E-B4AC-4897548F2BE9}">
  <ds:schemaRefs>
    <ds:schemaRef ds:uri="http://schemas.microsoft.com/office/2006/metadata/properties"/>
    <ds:schemaRef ds:uri="http://schemas.microsoft.com/office/infopath/2007/PartnerControls"/>
    <ds:schemaRef ds:uri="b88db12d-2e99-4c5c-a233-4a4a0c2acd26"/>
    <ds:schemaRef ds:uri="4cc5f488-8a31-4952-b862-fbdca3554c3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Besner</dc:creator>
  <cp:keywords/>
  <dc:description/>
  <cp:lastModifiedBy>Janice Besner</cp:lastModifiedBy>
  <cp:revision>2</cp:revision>
  <dcterms:created xsi:type="dcterms:W3CDTF">2023-05-29T02:39:00Z</dcterms:created>
  <dcterms:modified xsi:type="dcterms:W3CDTF">2023-05-29T02:39:00Z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0x010100F0C364EA63ADA7468DAC0B254C13474E</vt:lpwstr>
  </property>
  <property fmtid="{D5CDD505-2E9C-101B-9397-08002B2CF9AE}" pid="3" name="MediaServiceImageTags">
    <vt:lpwstr/>
  </property>
</Properties>
</file>