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D943" w14:textId="7078AF80" w:rsidR="00403F33" w:rsidRPr="0056440F" w:rsidRDefault="001B624B" w:rsidP="00A52920">
      <w:pPr>
        <w:pStyle w:val="NormalWeb"/>
        <w:shd w:val="clear" w:color="auto" w:fill="FFFFFF"/>
        <w:spacing w:before="0" w:after="0"/>
        <w:textAlignment w:val="baseline"/>
        <w:rPr>
          <w:rStyle w:val="Strong"/>
          <w:rFonts w:ascii="Arial" w:hAnsi="Arial" w:cs="Arial"/>
          <w:color w:val="0082CA"/>
          <w:sz w:val="26"/>
          <w:szCs w:val="26"/>
          <w:bdr w:val="none" w:sz="0" w:space="0" w:color="auto" w:frame="1"/>
        </w:rPr>
      </w:pPr>
      <w:r w:rsidRPr="0056440F">
        <w:rPr>
          <w:rStyle w:val="Strong"/>
          <w:rFonts w:ascii="Arial" w:hAnsi="Arial" w:cs="Arial"/>
          <w:color w:val="0082CA"/>
          <w:sz w:val="26"/>
          <w:szCs w:val="26"/>
          <w:bdr w:val="none" w:sz="0" w:space="0" w:color="auto" w:frame="1"/>
          <w:lang w:val="de-DE"/>
        </w:rPr>
        <w:t>März 2023</w:t>
      </w:r>
    </w:p>
    <w:p w14:paraId="2B93C828" w14:textId="51E21516" w:rsidR="00A52920" w:rsidRPr="0056440F" w:rsidRDefault="00A52920" w:rsidP="00A52920">
      <w:pPr>
        <w:pStyle w:val="NormalWeb"/>
        <w:shd w:val="clear" w:color="auto" w:fill="FFFFFF"/>
        <w:spacing w:before="0" w:after="0"/>
        <w:textAlignment w:val="baseline"/>
        <w:rPr>
          <w:rStyle w:val="Strong"/>
          <w:rFonts w:ascii="Arial" w:hAnsi="Arial" w:cs="Arial"/>
          <w:color w:val="0082CA"/>
          <w:sz w:val="26"/>
          <w:szCs w:val="26"/>
          <w:bdr w:val="none" w:sz="0" w:space="0" w:color="auto" w:frame="1"/>
        </w:rPr>
      </w:pPr>
      <w:r w:rsidRPr="0056440F">
        <w:rPr>
          <w:rStyle w:val="Strong"/>
          <w:rFonts w:ascii="Arial" w:hAnsi="Arial" w:cs="Arial"/>
          <w:color w:val="0082CA"/>
          <w:sz w:val="26"/>
          <w:szCs w:val="26"/>
          <w:bdr w:val="none" w:sz="0" w:space="0" w:color="auto" w:frame="1"/>
          <w:lang w:val="de-DE"/>
        </w:rPr>
        <w:t>Einführung der DEI-Grundsatzerklärung</w:t>
      </w:r>
    </w:p>
    <w:p w14:paraId="051C575A" w14:textId="2A44C6F0" w:rsidR="00373BB2" w:rsidRPr="00F81CE7" w:rsidRDefault="00FB579B" w:rsidP="00373BB2">
      <w:pPr>
        <w:pStyle w:val="NormalWeb"/>
        <w:shd w:val="clear" w:color="auto" w:fill="FFFFFF"/>
        <w:spacing w:before="0" w:after="0"/>
        <w:textAlignment w:val="baseline"/>
        <w:rPr>
          <w:rFonts w:ascii="Arial" w:hAnsi="Arial" w:cs="Arial"/>
          <w:color w:val="282828"/>
          <w:sz w:val="22"/>
          <w:szCs w:val="22"/>
          <w:lang w:val="de-DE"/>
        </w:rPr>
      </w:pPr>
      <w:r w:rsidRPr="00F81CE7">
        <w:rPr>
          <w:rFonts w:ascii="Arial" w:hAnsi="Arial" w:cs="Arial"/>
          <w:b/>
          <w:bCs/>
          <w:color w:val="0070C0"/>
          <w:sz w:val="22"/>
          <w:szCs w:val="22"/>
          <w:u w:val="single"/>
          <w:lang w:val="de-DE"/>
        </w:rPr>
        <w:t xml:space="preserve">Weiterleiten </w:t>
      </w:r>
      <w:r w:rsidR="0056440F">
        <w:rPr>
          <w:rFonts w:ascii="Arial" w:hAnsi="Arial" w:cs="Arial"/>
          <w:b/>
          <w:bCs/>
          <w:color w:val="0070C0"/>
          <w:sz w:val="22"/>
          <w:szCs w:val="22"/>
          <w:u w:val="single"/>
          <w:lang w:val="de-DE"/>
        </w:rPr>
        <w:br/>
      </w:r>
      <w:r w:rsidRPr="00F81CE7">
        <w:rPr>
          <w:rFonts w:ascii="Arial" w:hAnsi="Arial" w:cs="Arial"/>
          <w:color w:val="282828"/>
          <w:sz w:val="22"/>
          <w:szCs w:val="22"/>
          <w:lang w:val="de-DE"/>
        </w:rPr>
        <w:t>Das Cummings Centre, führend auf dem Gebiet des gesunden Alterns, ist eine gemeinnützige, auf Mitgliedschaft basierende Gemeinschaftsorganisation in Montréal, Quebec, die sich um die Bevölkerung 50+ kümmert.  Um den sich wandelnden Bedürfnissen dieser Bevölkerungsgruppe gerecht zu werden und auf der Leidenschaft und Vielfalt seiner Freiwilligen, Mitglieder, Spender und Mitarbeiter aufzubauen, hat das Cummings Centre im Rahmen der Aktualisierung seines Strategieplans einen mehrdimensionalen Ansatz verfolgt, um Vielfalt, Gleichberechtigung, Integration und Zugehörigkeit in allen Bereichen der Organisation zu berücksichtigen.</w:t>
      </w:r>
    </w:p>
    <w:p w14:paraId="67DE462E" w14:textId="319DCD0E" w:rsidR="00725759" w:rsidRPr="00F81CE7" w:rsidRDefault="00725759" w:rsidP="00725759">
      <w:pPr>
        <w:pStyle w:val="NormalWeb"/>
        <w:shd w:val="clear" w:color="auto" w:fill="FFFFFF"/>
        <w:spacing w:before="0" w:after="0"/>
        <w:textAlignment w:val="baseline"/>
        <w:rPr>
          <w:rFonts w:ascii="Arial" w:hAnsi="Arial" w:cs="Arial"/>
          <w:color w:val="282828"/>
          <w:sz w:val="22"/>
          <w:szCs w:val="22"/>
          <w:lang w:val="de-DE"/>
        </w:rPr>
      </w:pPr>
      <w:r w:rsidRPr="00F81CE7">
        <w:rPr>
          <w:rFonts w:ascii="Arial" w:hAnsi="Arial" w:cs="Arial"/>
          <w:color w:val="282828"/>
          <w:sz w:val="22"/>
          <w:szCs w:val="22"/>
          <w:lang w:val="de-DE"/>
        </w:rPr>
        <w:t>Aufbauend auf den Werten des Zentrums zur Förderung der DEI-Bemühungen (Diversity, Equity, and Inclusion/Vielfalt, Gleichberechtigung und Inklusion) wurde unter Leitung des Vorstands eine Task Force für Vielfalt, Gleichberechtigung und Inklusion gebildet. Im Zuge dessen wurde mit dem Feedback einer Reihe von Fokusgruppen sowie des Vorstands die folgende Erklärung zu DEI-Richtlinien ausgearbeitet.</w:t>
      </w:r>
    </w:p>
    <w:p w14:paraId="08ADEB92" w14:textId="309B8EF8" w:rsidR="005122E5" w:rsidRPr="00F81CE7" w:rsidRDefault="005122E5" w:rsidP="007C6754">
      <w:pPr>
        <w:pStyle w:val="NormalWeb"/>
        <w:spacing w:before="0" w:beforeAutospacing="0" w:after="0" w:afterAutospacing="0" w:line="276" w:lineRule="auto"/>
        <w:rPr>
          <w:rFonts w:ascii="Arial" w:eastAsia="Arial" w:hAnsi="Arial" w:cs="Arial"/>
          <w:b/>
          <w:bCs/>
          <w:color w:val="0070C0"/>
          <w:sz w:val="22"/>
          <w:szCs w:val="22"/>
          <w:u w:val="single"/>
          <w:lang w:val="de-DE"/>
        </w:rPr>
      </w:pPr>
      <w:r w:rsidRPr="00F81CE7">
        <w:rPr>
          <w:rFonts w:ascii="Arial" w:eastAsia="Arial" w:hAnsi="Arial" w:cs="Arial"/>
          <w:b/>
          <w:bCs/>
          <w:color w:val="0070C0"/>
          <w:sz w:val="22"/>
          <w:szCs w:val="22"/>
          <w:u w:val="single"/>
          <w:lang w:val="de-DE"/>
        </w:rPr>
        <w:t xml:space="preserve">Erklärung </w:t>
      </w:r>
    </w:p>
    <w:p w14:paraId="1FE4A637" w14:textId="69053ACE" w:rsidR="007C6754" w:rsidRPr="00F81CE7" w:rsidRDefault="007C6754" w:rsidP="007C6754">
      <w:pPr>
        <w:pStyle w:val="NormalWeb"/>
        <w:spacing w:before="0" w:beforeAutospacing="0" w:after="0" w:afterAutospacing="0" w:line="276" w:lineRule="auto"/>
        <w:rPr>
          <w:rFonts w:ascii="Arial" w:hAnsi="Arial" w:cs="Arial"/>
          <w:i/>
          <w:iCs/>
          <w:color w:val="000000" w:themeColor="text1"/>
          <w:sz w:val="22"/>
          <w:szCs w:val="22"/>
          <w:lang w:val="de-DE"/>
        </w:rPr>
      </w:pPr>
      <w:r w:rsidRPr="00F81CE7">
        <w:rPr>
          <w:rFonts w:ascii="Arial" w:eastAsia="Arial" w:hAnsi="Arial" w:cs="Arial"/>
          <w:i/>
          <w:iCs/>
          <w:color w:val="000000" w:themeColor="text1"/>
          <w:sz w:val="22"/>
          <w:szCs w:val="22"/>
          <w:lang w:val="de-DE"/>
        </w:rPr>
        <w:t>Das Cummings Jewish Centre for Seniors ist bestrebt, eine integrative Organisation zu schaffen, in der sich jeder zugehörig fühlt und gleichen Zugang zu Chancen und Förderung hat. Wir sind eine Organisation, die Vielfalt fördert und schätzt. Wir heißen jeden willkommen und respektieren alle Personen, unabhängig von Rasse, Religion, ethnischer Zugehörigkeit, Alter, sozioökonomischem Status, Sprache, sexueller Orientierung, Geschlechtsidentität, Behinderung oder anderen Faktoren. Wir dulden keine Diskriminierung aus irgendeinem Grund. Gemeinsam bemühen wir uns um den Aufbau einer integrativen Kultur, die die verschiedenen Stimmen unserer Mitarbeiter, unserer Freiwilligen, unserer Mitglieder und unserer Kunden fördert, unterstützt und würdigt.</w:t>
      </w:r>
    </w:p>
    <w:p w14:paraId="3A41C49B" w14:textId="77777777" w:rsidR="007C6754" w:rsidRPr="00F81CE7" w:rsidRDefault="007C6754" w:rsidP="007C6754">
      <w:pPr>
        <w:pStyle w:val="NormalWeb"/>
        <w:spacing w:before="0" w:beforeAutospacing="0" w:after="0" w:afterAutospacing="0" w:line="276" w:lineRule="auto"/>
        <w:rPr>
          <w:rFonts w:ascii="Arial" w:eastAsia="Arial" w:hAnsi="Arial" w:cs="Arial"/>
          <w:i/>
          <w:iCs/>
          <w:color w:val="000000" w:themeColor="text1"/>
          <w:sz w:val="22"/>
          <w:szCs w:val="22"/>
          <w:lang w:val="de-DE"/>
        </w:rPr>
      </w:pPr>
    </w:p>
    <w:p w14:paraId="21C9593C" w14:textId="5FD956FE" w:rsidR="007C6754" w:rsidRPr="00F81CE7" w:rsidRDefault="007C6754" w:rsidP="007C6754">
      <w:pPr>
        <w:pStyle w:val="NormalWeb"/>
        <w:spacing w:before="0" w:beforeAutospacing="0" w:after="0" w:afterAutospacing="0" w:line="276" w:lineRule="auto"/>
        <w:rPr>
          <w:rFonts w:ascii="Arial" w:eastAsia="Arial" w:hAnsi="Arial" w:cs="Arial"/>
          <w:i/>
          <w:iCs/>
          <w:color w:val="000000" w:themeColor="text1"/>
          <w:sz w:val="22"/>
          <w:szCs w:val="22"/>
          <w:lang w:val="de-DE"/>
        </w:rPr>
      </w:pPr>
      <w:r w:rsidRPr="00F81CE7">
        <w:rPr>
          <w:rFonts w:ascii="Arial" w:eastAsia="Arial" w:hAnsi="Arial" w:cs="Arial"/>
          <w:i/>
          <w:iCs/>
          <w:color w:val="000000" w:themeColor="text1"/>
          <w:sz w:val="22"/>
          <w:szCs w:val="22"/>
          <w:lang w:val="de-DE"/>
        </w:rPr>
        <w:t>Unser Engagement für Inklusion spiegelt sich in unseren Organisationsrichtlinien und -verfahren, in unseren Beschäftigungspraktiken, in unserem Strategieplan, in unseren Organisationszielen und in unserer vielfältigen Programmgestaltung und der Zuweisung von</w:t>
      </w:r>
      <w:r w:rsidRPr="00F81CE7">
        <w:rPr>
          <w:rFonts w:ascii="Arial" w:eastAsia="Arial" w:hAnsi="Arial" w:cs="Arial"/>
          <w:i/>
          <w:iCs/>
          <w:color w:val="4472C4" w:themeColor="accent1"/>
          <w:sz w:val="22"/>
          <w:szCs w:val="22"/>
          <w:lang w:val="de-DE"/>
        </w:rPr>
        <w:t xml:space="preserve"> </w:t>
      </w:r>
      <w:r w:rsidRPr="00F81CE7">
        <w:rPr>
          <w:rFonts w:ascii="Arial" w:eastAsia="Arial" w:hAnsi="Arial" w:cs="Arial"/>
          <w:i/>
          <w:iCs/>
          <w:color w:val="000000" w:themeColor="text1"/>
          <w:sz w:val="22"/>
          <w:szCs w:val="22"/>
          <w:lang w:val="de-DE"/>
        </w:rPr>
        <w:t>Ressourcen wider.</w:t>
      </w:r>
    </w:p>
    <w:p w14:paraId="4C82358D" w14:textId="2FEB3394" w:rsidR="00484269" w:rsidRPr="00F81CE7" w:rsidRDefault="00484269" w:rsidP="007C6754">
      <w:pPr>
        <w:pStyle w:val="NormalWeb"/>
        <w:spacing w:before="0" w:beforeAutospacing="0" w:after="0" w:afterAutospacing="0" w:line="276" w:lineRule="auto"/>
        <w:rPr>
          <w:rFonts w:ascii="Arial" w:eastAsia="Arial" w:hAnsi="Arial" w:cs="Arial"/>
          <w:i/>
          <w:iCs/>
          <w:color w:val="000000" w:themeColor="text1"/>
          <w:sz w:val="22"/>
          <w:szCs w:val="22"/>
          <w:lang w:val="de-DE"/>
        </w:rPr>
      </w:pPr>
      <w:r w:rsidRPr="00F81CE7">
        <w:rPr>
          <w:rFonts w:ascii="Arial" w:eastAsia="Arial" w:hAnsi="Arial" w:cs="Arial"/>
          <w:i/>
          <w:iCs/>
          <w:noProof/>
          <w:color w:val="000000" w:themeColor="text1"/>
          <w:sz w:val="22"/>
          <w:szCs w:val="22"/>
          <w:lang w:val="de-DE"/>
        </w:rPr>
        <mc:AlternateContent>
          <mc:Choice Requires="wps">
            <w:drawing>
              <wp:anchor distT="0" distB="0" distL="114300" distR="114300" simplePos="0" relativeHeight="251659264" behindDoc="0" locked="0" layoutInCell="1" allowOverlap="1" wp14:anchorId="74653CA4" wp14:editId="6D2689E2">
                <wp:simplePos x="0" y="0"/>
                <wp:positionH relativeFrom="margin">
                  <wp:align>left</wp:align>
                </wp:positionH>
                <wp:positionV relativeFrom="paragraph">
                  <wp:posOffset>154940</wp:posOffset>
                </wp:positionV>
                <wp:extent cx="6126480" cy="6400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6126480" cy="640080"/>
                        </a:xfrm>
                        <a:prstGeom prst="rect">
                          <a:avLst/>
                        </a:prstGeom>
                        <a:solidFill>
                          <a:schemeClr val="lt1"/>
                        </a:solidFill>
                        <a:ln w="6350">
                          <a:solidFill>
                            <a:prstClr val="black"/>
                          </a:solidFill>
                        </a:ln>
                      </wps:spPr>
                      <wps:txbx>
                        <w:txbxContent>
                          <w:p w14:paraId="1C759C46" w14:textId="0B46BB80" w:rsidR="00725759" w:rsidRPr="00F81CE7" w:rsidRDefault="00725759">
                            <w:pPr>
                              <w:rPr>
                                <w:b/>
                                <w:bCs/>
                                <w:lang w:val="de-DE"/>
                              </w:rPr>
                            </w:pPr>
                            <w:r>
                              <w:rPr>
                                <w:b/>
                                <w:bCs/>
                                <w:lang w:val="de-DE"/>
                              </w:rPr>
                              <w:t>*</w:t>
                            </w:r>
                            <w:r>
                              <w:rPr>
                                <w:b/>
                                <w:bCs/>
                                <w:sz w:val="28"/>
                                <w:szCs w:val="28"/>
                                <w:lang w:val="de-DE"/>
                              </w:rPr>
                              <w:t xml:space="preserve">Die Werte des Cummings Centre umfassen: </w:t>
                            </w:r>
                            <w:r>
                              <w:rPr>
                                <w:lang w:val="de-DE"/>
                              </w:rPr>
                              <w:t xml:space="preserve"> </w:t>
                            </w:r>
                            <w:r>
                              <w:rPr>
                                <w:b/>
                                <w:bCs/>
                                <w:sz w:val="28"/>
                                <w:szCs w:val="28"/>
                                <w:lang w:val="de-DE"/>
                              </w:rPr>
                              <w:t>Respekt, Würde, Vielfalt, Gleichberechtigung, Inklusivität, Befähigung, Exzellenz, Mitgefühl und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653CA4" id="_x0000_t202" coordsize="21600,21600" o:spt="202" path="m,l,21600r21600,l21600,xe">
                <v:stroke joinstyle="miter"/>
                <v:path gradientshapeok="t" o:connecttype="rect"/>
              </v:shapetype>
              <v:shape id="Text Box 1" o:spid="_x0000_s1026" type="#_x0000_t202" style="position:absolute;margin-left:0;margin-top:12.2pt;width:482.4pt;height:50.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" fillcolor="white [3201]" strokeweight=".5pt">
                <v:textbox>
                  <w:txbxContent>
                    <w:p w14:paraId="1C759C46" w14:textId="0B46BB80" w:rsidR="00725759" w:rsidRPr="00F81CE7" w:rsidRDefault="00725759">
                      <w:pPr>
                        <w:rPr>
                          <w:b/>
                          <w:bCs/>
                          <w:lang w:val="de-DE"/>
                        </w:rPr>
                      </w:pPr>
                      <w:r>
                        <w:rPr>
                          <w:b/>
                          <w:bCs/>
                          <w:lang w:val="de-DE"/>
                        </w:rPr>
                        <w:t>*</w:t>
                      </w:r>
                      <w:r>
                        <w:rPr>
                          <w:b/>
                          <w:bCs/>
                          <w:sz w:val="28"/>
                          <w:szCs w:val="28"/>
                          <w:lang w:val="de-DE"/>
                        </w:rPr>
                        <w:t xml:space="preserve">Die Werte des Cummings Centre umfassen: </w:t>
                      </w:r>
                      <w:r>
                        <w:rPr>
                          <w:lang w:val="de-DE"/>
                        </w:rPr>
                        <w:t xml:space="preserve"> </w:t>
                      </w:r>
                      <w:r>
                        <w:rPr>
                          <w:b/>
                          <w:bCs/>
                          <w:sz w:val="28"/>
                          <w:szCs w:val="28"/>
                          <w:lang w:val="de-DE"/>
                        </w:rPr>
                        <w:t>Respekt, Würde, Vielfalt, Gleichberechtigung, Inklusivität, Befähigung, Exzellenz, Mitgefühl und Engagement</w:t>
                      </w:r>
                    </w:p>
                  </w:txbxContent>
                </v:textbox>
                <w10:wrap anchorx="margin"/>
              </v:shape>
            </w:pict>
          </mc:Fallback>
        </mc:AlternateContent>
      </w:r>
    </w:p>
    <w:p w14:paraId="41143754" w14:textId="3F9B6729" w:rsidR="00484269" w:rsidRPr="00F81CE7" w:rsidRDefault="00484269" w:rsidP="007C6754">
      <w:pPr>
        <w:pStyle w:val="NormalWeb"/>
        <w:spacing w:before="0" w:beforeAutospacing="0" w:after="0" w:afterAutospacing="0" w:line="276" w:lineRule="auto"/>
        <w:rPr>
          <w:rFonts w:ascii="Arial" w:eastAsia="Arial" w:hAnsi="Arial" w:cs="Arial"/>
          <w:i/>
          <w:iCs/>
          <w:color w:val="000000" w:themeColor="text1"/>
          <w:sz w:val="22"/>
          <w:szCs w:val="22"/>
          <w:lang w:val="de-DE"/>
        </w:rPr>
      </w:pPr>
    </w:p>
    <w:p w14:paraId="47D15AF9" w14:textId="459BDC72" w:rsidR="00484269" w:rsidRPr="00F81CE7" w:rsidRDefault="00484269" w:rsidP="007C6754">
      <w:pPr>
        <w:pStyle w:val="NormalWeb"/>
        <w:spacing w:before="0" w:beforeAutospacing="0" w:after="0" w:afterAutospacing="0" w:line="276" w:lineRule="auto"/>
        <w:rPr>
          <w:rFonts w:ascii="Arial" w:eastAsia="Arial" w:hAnsi="Arial" w:cs="Arial"/>
          <w:i/>
          <w:iCs/>
          <w:color w:val="000000" w:themeColor="text1"/>
          <w:sz w:val="22"/>
          <w:szCs w:val="22"/>
          <w:lang w:val="de-DE"/>
        </w:rPr>
      </w:pPr>
    </w:p>
    <w:p w14:paraId="0764E107" w14:textId="44197454" w:rsidR="00484269" w:rsidRPr="00F81CE7" w:rsidRDefault="00484269" w:rsidP="007C6754">
      <w:pPr>
        <w:pStyle w:val="NormalWeb"/>
        <w:spacing w:before="0" w:beforeAutospacing="0" w:after="0" w:afterAutospacing="0" w:line="276" w:lineRule="auto"/>
        <w:rPr>
          <w:rFonts w:ascii="Arial" w:eastAsia="Arial" w:hAnsi="Arial" w:cs="Arial"/>
          <w:i/>
          <w:iCs/>
          <w:color w:val="000000" w:themeColor="text1"/>
          <w:sz w:val="22"/>
          <w:szCs w:val="22"/>
          <w:lang w:val="de-DE"/>
        </w:rPr>
      </w:pPr>
    </w:p>
    <w:p w14:paraId="5F2BF879" w14:textId="78E2CD51" w:rsidR="00433EF8" w:rsidRPr="00F81CE7" w:rsidRDefault="00DF6567" w:rsidP="00433EF8">
      <w:pPr>
        <w:pStyle w:val="NormalWeb"/>
        <w:shd w:val="clear" w:color="auto" w:fill="FFFFFF"/>
        <w:spacing w:before="0" w:after="0"/>
        <w:textAlignment w:val="baseline"/>
        <w:rPr>
          <w:rFonts w:ascii="Arial" w:hAnsi="Arial" w:cs="Arial"/>
          <w:b/>
          <w:bCs/>
          <w:color w:val="0070C0"/>
          <w:sz w:val="22"/>
          <w:szCs w:val="22"/>
          <w:u w:val="single"/>
          <w:lang w:val="de-DE"/>
        </w:rPr>
      </w:pPr>
      <w:r w:rsidRPr="00F81CE7">
        <w:rPr>
          <w:rFonts w:ascii="Arial" w:hAnsi="Arial" w:cs="Arial"/>
          <w:b/>
          <w:bCs/>
          <w:color w:val="0070C0"/>
          <w:sz w:val="22"/>
          <w:szCs w:val="22"/>
          <w:u w:val="single"/>
          <w:lang w:val="de-DE"/>
        </w:rPr>
        <w:t xml:space="preserve">Ein Blick in die Zukunft – Unser Engagement für DEI </w:t>
      </w:r>
    </w:p>
    <w:p w14:paraId="4C97E12B" w14:textId="77C01446" w:rsidR="00BB07A8" w:rsidRPr="00F81CE7" w:rsidRDefault="00015BD5" w:rsidP="00BB07A8">
      <w:pPr>
        <w:pStyle w:val="NormalWeb"/>
        <w:numPr>
          <w:ilvl w:val="0"/>
          <w:numId w:val="7"/>
        </w:numPr>
        <w:shd w:val="clear" w:color="auto" w:fill="FFFFFF"/>
        <w:spacing w:before="0" w:after="0"/>
        <w:textAlignment w:val="baseline"/>
        <w:rPr>
          <w:rFonts w:ascii="Arial" w:hAnsi="Arial" w:cs="Arial"/>
          <w:sz w:val="22"/>
          <w:szCs w:val="22"/>
          <w:lang w:val="de-DE"/>
        </w:rPr>
      </w:pPr>
      <w:r w:rsidRPr="00F81CE7">
        <w:rPr>
          <w:rFonts w:ascii="Arial" w:hAnsi="Arial" w:cs="Arial"/>
          <w:b/>
          <w:bCs/>
          <w:sz w:val="22"/>
          <w:szCs w:val="22"/>
          <w:lang w:val="de-DE"/>
        </w:rPr>
        <w:t>Angleichung der personellen und finanziellen</w:t>
      </w:r>
      <w:r w:rsidRPr="00F81CE7">
        <w:rPr>
          <w:rFonts w:ascii="Arial" w:hAnsi="Arial" w:cs="Arial"/>
          <w:sz w:val="22"/>
          <w:szCs w:val="22"/>
          <w:lang w:val="de-DE"/>
        </w:rPr>
        <w:t xml:space="preserve"> Ressourcen zur Unterstützung bewährter Verfahren</w:t>
      </w:r>
    </w:p>
    <w:p w14:paraId="6640B8EA" w14:textId="77777777" w:rsidR="00BB07A8" w:rsidRPr="00F81CE7" w:rsidRDefault="00BB07A8" w:rsidP="00BB07A8">
      <w:pPr>
        <w:pStyle w:val="NormalWeb"/>
        <w:numPr>
          <w:ilvl w:val="0"/>
          <w:numId w:val="7"/>
        </w:numPr>
        <w:shd w:val="clear" w:color="auto" w:fill="FFFFFF"/>
        <w:spacing w:before="0" w:after="0"/>
        <w:textAlignment w:val="baseline"/>
        <w:rPr>
          <w:rFonts w:ascii="Arial" w:hAnsi="Arial" w:cs="Arial"/>
          <w:sz w:val="22"/>
          <w:szCs w:val="22"/>
          <w:lang w:val="de-DE"/>
        </w:rPr>
      </w:pPr>
      <w:r w:rsidRPr="00F81CE7">
        <w:rPr>
          <w:rFonts w:ascii="Arial" w:hAnsi="Arial" w:cs="Arial"/>
          <w:b/>
          <w:bCs/>
          <w:sz w:val="22"/>
          <w:szCs w:val="22"/>
          <w:lang w:val="de-DE"/>
        </w:rPr>
        <w:t>Möglichkeiten zur Schulung und beruflichen Weiterentwicklung</w:t>
      </w:r>
      <w:r w:rsidRPr="00F81CE7">
        <w:rPr>
          <w:rFonts w:ascii="Arial" w:hAnsi="Arial" w:cs="Arial"/>
          <w:sz w:val="22"/>
          <w:szCs w:val="22"/>
          <w:lang w:val="de-DE"/>
        </w:rPr>
        <w:t xml:space="preserve"> bieten </w:t>
      </w:r>
    </w:p>
    <w:p w14:paraId="409DF50E" w14:textId="59CCC11A" w:rsidR="00BB07A8" w:rsidRPr="00F81CE7" w:rsidRDefault="00DF6567" w:rsidP="00BB07A8">
      <w:pPr>
        <w:pStyle w:val="NormalWeb"/>
        <w:numPr>
          <w:ilvl w:val="0"/>
          <w:numId w:val="7"/>
        </w:numPr>
        <w:shd w:val="clear" w:color="auto" w:fill="FFFFFF"/>
        <w:spacing w:before="0" w:after="0"/>
        <w:textAlignment w:val="baseline"/>
        <w:rPr>
          <w:rFonts w:ascii="Arial" w:hAnsi="Arial" w:cs="Arial"/>
          <w:sz w:val="22"/>
          <w:szCs w:val="22"/>
        </w:rPr>
      </w:pPr>
      <w:r w:rsidRPr="00F81CE7">
        <w:rPr>
          <w:rFonts w:ascii="Arial" w:hAnsi="Arial" w:cs="Arial"/>
          <w:b/>
          <w:bCs/>
          <w:sz w:val="22"/>
          <w:szCs w:val="22"/>
          <w:lang w:val="de-DE"/>
        </w:rPr>
        <w:t xml:space="preserve">Diversifizierung der Governance priorisieren </w:t>
      </w:r>
    </w:p>
    <w:p w14:paraId="7A54B210" w14:textId="38C7D818" w:rsidR="00B613F6" w:rsidRPr="00F81CE7" w:rsidRDefault="00DF6567" w:rsidP="00BB07A8">
      <w:pPr>
        <w:pStyle w:val="NormalWeb"/>
        <w:numPr>
          <w:ilvl w:val="0"/>
          <w:numId w:val="7"/>
        </w:numPr>
        <w:shd w:val="clear" w:color="auto" w:fill="FFFFFF"/>
        <w:spacing w:before="0" w:after="0"/>
        <w:textAlignment w:val="baseline"/>
        <w:rPr>
          <w:rFonts w:ascii="Arial" w:hAnsi="Arial" w:cs="Arial"/>
          <w:sz w:val="22"/>
          <w:szCs w:val="22"/>
          <w:lang w:val="de-DE"/>
        </w:rPr>
      </w:pPr>
      <w:r w:rsidRPr="00F81CE7">
        <w:rPr>
          <w:rFonts w:ascii="Arial" w:hAnsi="Arial" w:cs="Arial"/>
          <w:b/>
          <w:bCs/>
          <w:sz w:val="22"/>
          <w:szCs w:val="22"/>
          <w:lang w:val="de-DE"/>
        </w:rPr>
        <w:lastRenderedPageBreak/>
        <w:t>Verbesserung der Barrierefreiheit</w:t>
      </w:r>
      <w:r w:rsidRPr="00F81CE7">
        <w:rPr>
          <w:rFonts w:ascii="Arial" w:hAnsi="Arial" w:cs="Arial"/>
          <w:sz w:val="22"/>
          <w:szCs w:val="22"/>
          <w:lang w:val="de-DE"/>
        </w:rPr>
        <w:t xml:space="preserve"> – Überprüfung und Anwendung bewährter Verfahren für die Zugänglichkeit, einschließlich der Einrichtungen des Zentrums sowie der Technologie- und Kommunikationsplattformen </w:t>
      </w:r>
    </w:p>
    <w:p w14:paraId="03664911" w14:textId="162A38F3" w:rsidR="00015BD5" w:rsidRPr="00F81CE7" w:rsidRDefault="008B17C6" w:rsidP="00B613F6">
      <w:pPr>
        <w:pStyle w:val="NormalWeb"/>
        <w:shd w:val="clear" w:color="auto" w:fill="FFFFFF"/>
        <w:spacing w:before="0" w:after="0"/>
        <w:textAlignment w:val="baseline"/>
        <w:rPr>
          <w:rFonts w:ascii="Arial" w:hAnsi="Arial" w:cs="Arial"/>
          <w:b/>
          <w:bCs/>
          <w:sz w:val="22"/>
          <w:szCs w:val="22"/>
        </w:rPr>
      </w:pPr>
      <w:r w:rsidRPr="00F81CE7">
        <w:rPr>
          <w:rFonts w:ascii="Arial" w:hAnsi="Arial" w:cs="Arial"/>
          <w:b/>
          <w:bCs/>
          <w:sz w:val="22"/>
          <w:szCs w:val="22"/>
          <w:lang w:val="de-DE"/>
        </w:rPr>
        <w:t>Bisherige Errungenschaften</w:t>
      </w:r>
    </w:p>
    <w:p w14:paraId="224A73E4" w14:textId="0FF9B36D" w:rsidR="00C066A2" w:rsidRPr="00F81CE7" w:rsidRDefault="00564311" w:rsidP="00C066A2">
      <w:pPr>
        <w:pStyle w:val="NormalWeb"/>
        <w:numPr>
          <w:ilvl w:val="0"/>
          <w:numId w:val="4"/>
        </w:numPr>
        <w:shd w:val="clear" w:color="auto" w:fill="FFFFFF"/>
        <w:spacing w:after="0"/>
        <w:textAlignment w:val="baseline"/>
        <w:rPr>
          <w:rFonts w:ascii="Arial" w:hAnsi="Arial" w:cs="Arial"/>
          <w:sz w:val="22"/>
          <w:szCs w:val="22"/>
          <w:lang w:val="de-DE"/>
        </w:rPr>
      </w:pPr>
      <w:r w:rsidRPr="00F81CE7">
        <w:rPr>
          <w:rFonts w:ascii="Arial" w:hAnsi="Arial" w:cs="Arial"/>
          <w:b/>
          <w:bCs/>
          <w:sz w:val="22"/>
          <w:szCs w:val="22"/>
          <w:lang w:val="de-DE"/>
        </w:rPr>
        <w:t xml:space="preserve">Durchführung einer Reihe von Fokusgruppen </w:t>
      </w:r>
      <w:r w:rsidRPr="00F81CE7">
        <w:rPr>
          <w:rFonts w:ascii="Arial" w:hAnsi="Arial" w:cs="Arial"/>
          <w:sz w:val="22"/>
          <w:szCs w:val="22"/>
          <w:lang w:val="de-DE"/>
        </w:rPr>
        <w:t>unter Einbeziehung von Partnern, Organisationen und Mitarbeitern der Gemeinschaft**</w:t>
      </w:r>
    </w:p>
    <w:p w14:paraId="5E9F8ADE" w14:textId="196E407D" w:rsidR="00C066A2" w:rsidRPr="00F81CE7" w:rsidRDefault="00665B97" w:rsidP="00C066A2">
      <w:pPr>
        <w:pStyle w:val="NormalWeb"/>
        <w:numPr>
          <w:ilvl w:val="0"/>
          <w:numId w:val="4"/>
        </w:numPr>
        <w:shd w:val="clear" w:color="auto" w:fill="FFFFFF"/>
        <w:spacing w:after="0"/>
        <w:textAlignment w:val="baseline"/>
        <w:rPr>
          <w:rFonts w:ascii="Arial" w:hAnsi="Arial" w:cs="Arial"/>
          <w:sz w:val="22"/>
          <w:szCs w:val="22"/>
          <w:lang w:val="de-DE"/>
        </w:rPr>
      </w:pPr>
      <w:r w:rsidRPr="00F81CE7">
        <w:rPr>
          <w:rFonts w:ascii="Arial" w:hAnsi="Arial" w:cs="Arial"/>
          <w:b/>
          <w:bCs/>
          <w:sz w:val="22"/>
          <w:szCs w:val="22"/>
          <w:lang w:val="de-DE"/>
        </w:rPr>
        <w:t>Erweiterung des Einstellungsbereichs</w:t>
      </w:r>
      <w:r w:rsidRPr="00F81CE7">
        <w:rPr>
          <w:rFonts w:ascii="Arial" w:hAnsi="Arial" w:cs="Arial"/>
          <w:sz w:val="22"/>
          <w:szCs w:val="22"/>
          <w:lang w:val="de-DE"/>
        </w:rPr>
        <w:t xml:space="preserve"> zur Förderung einer vielfältigeren Belegschaft, die verschiedene Altersgruppen, Kulturen, Fähigkeiten, geschlechtliche Identitäten und Sprachen widerspiegelt, um die unterschiedlichen Kunden zu repräsentieren, die wir unterstützen möchten</w:t>
      </w:r>
    </w:p>
    <w:p w14:paraId="17A6C85B" w14:textId="60B01842" w:rsidR="00015BD5" w:rsidRPr="00F81CE7" w:rsidRDefault="00564311" w:rsidP="00C066A2">
      <w:pPr>
        <w:pStyle w:val="NormalWeb"/>
        <w:numPr>
          <w:ilvl w:val="0"/>
          <w:numId w:val="4"/>
        </w:numPr>
        <w:shd w:val="clear" w:color="auto" w:fill="FFFFFF"/>
        <w:spacing w:after="0"/>
        <w:textAlignment w:val="baseline"/>
        <w:rPr>
          <w:rFonts w:ascii="Arial" w:hAnsi="Arial" w:cs="Arial"/>
          <w:sz w:val="22"/>
          <w:szCs w:val="22"/>
          <w:lang w:val="de-DE"/>
        </w:rPr>
      </w:pPr>
      <w:r w:rsidRPr="00F81CE7">
        <w:rPr>
          <w:rFonts w:ascii="Arial" w:hAnsi="Arial" w:cs="Arial"/>
          <w:b/>
          <w:bCs/>
          <w:sz w:val="22"/>
          <w:szCs w:val="22"/>
          <w:lang w:val="de-DE"/>
        </w:rPr>
        <w:t>Verbesserte Zugänglichkeit</w:t>
      </w:r>
      <w:r w:rsidRPr="00F81CE7">
        <w:rPr>
          <w:rFonts w:ascii="Arial" w:hAnsi="Arial" w:cs="Arial"/>
          <w:sz w:val="22"/>
          <w:szCs w:val="22"/>
          <w:lang w:val="de-DE"/>
        </w:rPr>
        <w:t xml:space="preserve"> für französisch- und russischsprachige Erwachsene 50+ durch Simultanübersetzung der Programme</w:t>
      </w:r>
    </w:p>
    <w:p w14:paraId="0B5A71DC" w14:textId="3187F0F5" w:rsidR="00BC70D0" w:rsidRPr="00F81CE7" w:rsidRDefault="00213ADE" w:rsidP="00C066A2">
      <w:pPr>
        <w:pStyle w:val="NormalWeb"/>
        <w:numPr>
          <w:ilvl w:val="0"/>
          <w:numId w:val="4"/>
        </w:numPr>
        <w:shd w:val="clear" w:color="auto" w:fill="FFFFFF"/>
        <w:spacing w:after="0"/>
        <w:textAlignment w:val="baseline"/>
        <w:rPr>
          <w:rFonts w:ascii="Arial" w:hAnsi="Arial" w:cs="Arial"/>
          <w:i/>
          <w:iCs/>
          <w:sz w:val="22"/>
          <w:szCs w:val="22"/>
          <w:lang w:val="de-DE"/>
        </w:rPr>
      </w:pPr>
      <w:r w:rsidRPr="00F81CE7">
        <w:rPr>
          <w:rFonts w:ascii="Arial" w:hAnsi="Arial" w:cs="Arial"/>
          <w:b/>
          <w:bCs/>
          <w:sz w:val="22"/>
          <w:szCs w:val="22"/>
          <w:lang w:val="de-DE"/>
        </w:rPr>
        <w:t xml:space="preserve">Ausweitung der Reichweite unseres französischsprachigen Angebots </w:t>
      </w:r>
      <w:r w:rsidRPr="00F81CE7">
        <w:rPr>
          <w:rFonts w:ascii="Arial" w:hAnsi="Arial" w:cs="Arial"/>
          <w:sz w:val="22"/>
          <w:szCs w:val="22"/>
          <w:lang w:val="de-DE"/>
        </w:rPr>
        <w:t>durch Steigerung unserer Ausgaben für französische Medien und Ausbau unseres Netzwerks in verschiedenen Beratungsgremien sowie sephardischen Gruppen</w:t>
      </w:r>
    </w:p>
    <w:p w14:paraId="5FE8828F" w14:textId="4733B9CD" w:rsidR="00564311" w:rsidRPr="00F81CE7" w:rsidRDefault="00564311" w:rsidP="00C066A2">
      <w:pPr>
        <w:pStyle w:val="NormalWeb"/>
        <w:numPr>
          <w:ilvl w:val="0"/>
          <w:numId w:val="4"/>
        </w:numPr>
        <w:shd w:val="clear" w:color="auto" w:fill="FFFFFF"/>
        <w:textAlignment w:val="baseline"/>
        <w:rPr>
          <w:rFonts w:ascii="Arial" w:hAnsi="Arial" w:cs="Arial"/>
          <w:i/>
          <w:iCs/>
          <w:sz w:val="22"/>
          <w:szCs w:val="22"/>
          <w:lang w:val="de-DE"/>
        </w:rPr>
      </w:pPr>
      <w:r w:rsidRPr="00F81CE7">
        <w:rPr>
          <w:rFonts w:ascii="Arial" w:hAnsi="Arial" w:cs="Arial"/>
          <w:b/>
          <w:bCs/>
          <w:i/>
          <w:iCs/>
          <w:sz w:val="22"/>
          <w:szCs w:val="22"/>
          <w:lang w:val="de-DE"/>
        </w:rPr>
        <w:t xml:space="preserve">Aufbau von Partnerschaften </w:t>
      </w:r>
      <w:r w:rsidRPr="00F81CE7">
        <w:rPr>
          <w:rFonts w:ascii="Arial" w:hAnsi="Arial" w:cs="Arial"/>
          <w:i/>
          <w:iCs/>
          <w:sz w:val="22"/>
          <w:szCs w:val="22"/>
          <w:lang w:val="de-DE"/>
        </w:rPr>
        <w:t>mit Organisationen aus den Bereichen LGBTQ+, Interreligiöses, kulturelle Vielfalt, Inklusion von Behinderten und CDN-Gemeinschaft </w:t>
      </w:r>
    </w:p>
    <w:p w14:paraId="6E771FF3" w14:textId="64CA88E5" w:rsidR="00D115D5" w:rsidRPr="00F81CE7" w:rsidRDefault="00237854" w:rsidP="002E099D">
      <w:pPr>
        <w:pStyle w:val="NormalWeb"/>
        <w:numPr>
          <w:ilvl w:val="0"/>
          <w:numId w:val="4"/>
        </w:numPr>
        <w:shd w:val="clear" w:color="auto" w:fill="FFFFFF"/>
        <w:spacing w:after="0"/>
        <w:textAlignment w:val="baseline"/>
        <w:rPr>
          <w:rFonts w:ascii="Arial" w:hAnsi="Arial" w:cs="Arial"/>
          <w:i/>
          <w:iCs/>
          <w:sz w:val="22"/>
          <w:szCs w:val="22"/>
          <w:lang w:val="de-DE"/>
        </w:rPr>
      </w:pPr>
      <w:r w:rsidRPr="00F81CE7">
        <w:rPr>
          <w:rFonts w:ascii="Arial" w:hAnsi="Arial" w:cs="Arial"/>
          <w:b/>
          <w:bCs/>
          <w:i/>
          <w:iCs/>
          <w:sz w:val="22"/>
          <w:szCs w:val="22"/>
          <w:lang w:val="de-DE"/>
        </w:rPr>
        <w:t>Schulungen für Mitarbeiter und Freiwillige zu bewährten DEI-Verfahren</w:t>
      </w:r>
    </w:p>
    <w:p w14:paraId="3151D354" w14:textId="0FE87DA5" w:rsidR="009026AD" w:rsidRPr="00F81CE7" w:rsidRDefault="009026AD" w:rsidP="00D115D5">
      <w:pPr>
        <w:pStyle w:val="NormalWeb"/>
        <w:shd w:val="clear" w:color="auto" w:fill="FFFFFF"/>
        <w:spacing w:after="0"/>
        <w:textAlignment w:val="baseline"/>
        <w:rPr>
          <w:rFonts w:ascii="Arial" w:hAnsi="Arial" w:cs="Arial"/>
          <w:i/>
          <w:iCs/>
          <w:sz w:val="22"/>
          <w:szCs w:val="22"/>
          <w:lang w:val="de-DE"/>
        </w:rPr>
      </w:pPr>
      <w:r w:rsidRPr="00F81CE7">
        <w:rPr>
          <w:rFonts w:ascii="Arial" w:hAnsi="Arial" w:cs="Arial"/>
          <w:i/>
          <w:iCs/>
          <w:sz w:val="22"/>
          <w:szCs w:val="22"/>
          <w:lang w:val="de-DE"/>
        </w:rPr>
        <w:t>** Fokusgruppe</w:t>
      </w:r>
      <w:r w:rsidRPr="00F81CE7">
        <w:rPr>
          <w:rFonts w:ascii="Arial" w:hAnsi="Arial" w:cs="Arial"/>
          <w:sz w:val="22"/>
          <w:szCs w:val="22"/>
          <w:lang w:val="de-DE"/>
        </w:rPr>
        <w:t> </w:t>
      </w:r>
      <w:r w:rsidRPr="00F81CE7">
        <w:rPr>
          <w:rFonts w:ascii="Arial" w:hAnsi="Arial" w:cs="Arial"/>
          <w:i/>
          <w:iCs/>
          <w:sz w:val="22"/>
          <w:szCs w:val="22"/>
          <w:lang w:val="de-DE"/>
        </w:rPr>
        <w:t xml:space="preserve">1 – Englisch (TIP OA, Gay and Grey, JEM Workshop, Beth Tikvah-Synagoge, B'nai Brith-Residenz)  </w:t>
      </w:r>
      <w:r w:rsidRPr="00F81CE7">
        <w:rPr>
          <w:rFonts w:ascii="Arial" w:hAnsi="Arial" w:cs="Arial"/>
          <w:sz w:val="22"/>
          <w:szCs w:val="22"/>
          <w:lang w:val="de-DE"/>
        </w:rPr>
        <w:br/>
      </w:r>
      <w:r w:rsidRPr="00F81CE7">
        <w:rPr>
          <w:rFonts w:ascii="Arial" w:hAnsi="Arial" w:cs="Arial"/>
          <w:i/>
          <w:iCs/>
          <w:sz w:val="22"/>
          <w:szCs w:val="22"/>
          <w:lang w:val="de-DE"/>
        </w:rPr>
        <w:t>– Fokusgruppe</w:t>
      </w:r>
      <w:r w:rsidRPr="00F81CE7">
        <w:rPr>
          <w:rFonts w:ascii="Arial" w:hAnsi="Arial" w:cs="Arial"/>
          <w:sz w:val="22"/>
          <w:szCs w:val="22"/>
          <w:lang w:val="de-DE"/>
        </w:rPr>
        <w:t> </w:t>
      </w:r>
      <w:r w:rsidRPr="00F81CE7">
        <w:rPr>
          <w:rFonts w:ascii="Arial" w:hAnsi="Arial" w:cs="Arial"/>
          <w:i/>
          <w:iCs/>
          <w:sz w:val="22"/>
          <w:szCs w:val="22"/>
          <w:lang w:val="de-DE"/>
        </w:rPr>
        <w:t>2 – Französisch (Centraide, Université du Québec à Trois-Rivières, Maison de la culture Cote des Neiges de CDN, Centre des Ainés Côte-des-Neiges, Centre des Femmes du Monde à Côte-des-Neiges, Club Ami, Fondation Émergence-défense des droits LGBTQ+, SPVM district 26, Santé publique de Montréal)</w:t>
      </w:r>
      <w:r w:rsidRPr="00F81CE7">
        <w:rPr>
          <w:rFonts w:ascii="Arial" w:hAnsi="Arial" w:cs="Arial"/>
          <w:sz w:val="22"/>
          <w:szCs w:val="22"/>
          <w:lang w:val="de-DE"/>
        </w:rPr>
        <w:br/>
        <w:t>–</w:t>
      </w:r>
      <w:r w:rsidRPr="00F81CE7">
        <w:rPr>
          <w:rFonts w:ascii="Arial" w:hAnsi="Arial" w:cs="Arial"/>
          <w:i/>
          <w:iCs/>
          <w:sz w:val="22"/>
          <w:szCs w:val="22"/>
          <w:lang w:val="de-DE"/>
        </w:rPr>
        <w:t xml:space="preserve"> Fokusgruppe</w:t>
      </w:r>
      <w:r w:rsidRPr="00F81CE7">
        <w:rPr>
          <w:rFonts w:ascii="Arial" w:hAnsi="Arial" w:cs="Arial"/>
          <w:sz w:val="22"/>
          <w:szCs w:val="22"/>
          <w:lang w:val="de-DE"/>
        </w:rPr>
        <w:t xml:space="preserve"> 3 – </w:t>
      </w:r>
      <w:r w:rsidRPr="00F81CE7">
        <w:rPr>
          <w:rFonts w:ascii="Arial" w:hAnsi="Arial" w:cs="Arial"/>
          <w:i/>
          <w:iCs/>
          <w:sz w:val="22"/>
          <w:szCs w:val="22"/>
          <w:lang w:val="de-DE"/>
        </w:rPr>
        <w:t>Mitarbeiter aus allen Abteilungen des Cummings Centre</w:t>
      </w:r>
    </w:p>
    <w:sectPr w:rsidR="009026AD" w:rsidRPr="00F81C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E9F"/>
    <w:multiLevelType w:val="multilevel"/>
    <w:tmpl w:val="40A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7260B"/>
    <w:multiLevelType w:val="hybridMultilevel"/>
    <w:tmpl w:val="E9A27C3E"/>
    <w:lvl w:ilvl="0" w:tplc="F3861A64">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39906BD"/>
    <w:multiLevelType w:val="hybridMultilevel"/>
    <w:tmpl w:val="F33E2748"/>
    <w:lvl w:ilvl="0" w:tplc="9A8C8E5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B47810"/>
    <w:multiLevelType w:val="hybridMultilevel"/>
    <w:tmpl w:val="8EB652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2856E3"/>
    <w:multiLevelType w:val="hybridMultilevel"/>
    <w:tmpl w:val="EB384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8F2EE3"/>
    <w:multiLevelType w:val="hybridMultilevel"/>
    <w:tmpl w:val="E97246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C17B7F"/>
    <w:multiLevelType w:val="hybridMultilevel"/>
    <w:tmpl w:val="8EA4A756"/>
    <w:lvl w:ilvl="0" w:tplc="96CCB3C6">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558219C"/>
    <w:multiLevelType w:val="hybridMultilevel"/>
    <w:tmpl w:val="125493C2"/>
    <w:lvl w:ilvl="0" w:tplc="E14CAB7A">
      <w:start w:val="1"/>
      <w:numFmt w:val="bullet"/>
      <w:lvlText w:val="•"/>
      <w:lvlJc w:val="left"/>
      <w:pPr>
        <w:tabs>
          <w:tab w:val="num" w:pos="720"/>
        </w:tabs>
        <w:ind w:left="720" w:hanging="360"/>
      </w:pPr>
      <w:rPr>
        <w:rFonts w:ascii="Arial" w:hAnsi="Arial" w:hint="default"/>
      </w:rPr>
    </w:lvl>
    <w:lvl w:ilvl="1" w:tplc="04BE3584" w:tentative="1">
      <w:start w:val="1"/>
      <w:numFmt w:val="bullet"/>
      <w:lvlText w:val="•"/>
      <w:lvlJc w:val="left"/>
      <w:pPr>
        <w:tabs>
          <w:tab w:val="num" w:pos="1440"/>
        </w:tabs>
        <w:ind w:left="1440" w:hanging="360"/>
      </w:pPr>
      <w:rPr>
        <w:rFonts w:ascii="Arial" w:hAnsi="Arial" w:hint="default"/>
      </w:rPr>
    </w:lvl>
    <w:lvl w:ilvl="2" w:tplc="5E962608" w:tentative="1">
      <w:start w:val="1"/>
      <w:numFmt w:val="bullet"/>
      <w:lvlText w:val="•"/>
      <w:lvlJc w:val="left"/>
      <w:pPr>
        <w:tabs>
          <w:tab w:val="num" w:pos="2160"/>
        </w:tabs>
        <w:ind w:left="2160" w:hanging="360"/>
      </w:pPr>
      <w:rPr>
        <w:rFonts w:ascii="Arial" w:hAnsi="Arial" w:hint="default"/>
      </w:rPr>
    </w:lvl>
    <w:lvl w:ilvl="3" w:tplc="8772C09A" w:tentative="1">
      <w:start w:val="1"/>
      <w:numFmt w:val="bullet"/>
      <w:lvlText w:val="•"/>
      <w:lvlJc w:val="left"/>
      <w:pPr>
        <w:tabs>
          <w:tab w:val="num" w:pos="2880"/>
        </w:tabs>
        <w:ind w:left="2880" w:hanging="360"/>
      </w:pPr>
      <w:rPr>
        <w:rFonts w:ascii="Arial" w:hAnsi="Arial" w:hint="default"/>
      </w:rPr>
    </w:lvl>
    <w:lvl w:ilvl="4" w:tplc="7D64E66E" w:tentative="1">
      <w:start w:val="1"/>
      <w:numFmt w:val="bullet"/>
      <w:lvlText w:val="•"/>
      <w:lvlJc w:val="left"/>
      <w:pPr>
        <w:tabs>
          <w:tab w:val="num" w:pos="3600"/>
        </w:tabs>
        <w:ind w:left="3600" w:hanging="360"/>
      </w:pPr>
      <w:rPr>
        <w:rFonts w:ascii="Arial" w:hAnsi="Arial" w:hint="default"/>
      </w:rPr>
    </w:lvl>
    <w:lvl w:ilvl="5" w:tplc="9C90C15C" w:tentative="1">
      <w:start w:val="1"/>
      <w:numFmt w:val="bullet"/>
      <w:lvlText w:val="•"/>
      <w:lvlJc w:val="left"/>
      <w:pPr>
        <w:tabs>
          <w:tab w:val="num" w:pos="4320"/>
        </w:tabs>
        <w:ind w:left="4320" w:hanging="360"/>
      </w:pPr>
      <w:rPr>
        <w:rFonts w:ascii="Arial" w:hAnsi="Arial" w:hint="default"/>
      </w:rPr>
    </w:lvl>
    <w:lvl w:ilvl="6" w:tplc="576EB1E8" w:tentative="1">
      <w:start w:val="1"/>
      <w:numFmt w:val="bullet"/>
      <w:lvlText w:val="•"/>
      <w:lvlJc w:val="left"/>
      <w:pPr>
        <w:tabs>
          <w:tab w:val="num" w:pos="5040"/>
        </w:tabs>
        <w:ind w:left="5040" w:hanging="360"/>
      </w:pPr>
      <w:rPr>
        <w:rFonts w:ascii="Arial" w:hAnsi="Arial" w:hint="default"/>
      </w:rPr>
    </w:lvl>
    <w:lvl w:ilvl="7" w:tplc="B7BC3886" w:tentative="1">
      <w:start w:val="1"/>
      <w:numFmt w:val="bullet"/>
      <w:lvlText w:val="•"/>
      <w:lvlJc w:val="left"/>
      <w:pPr>
        <w:tabs>
          <w:tab w:val="num" w:pos="5760"/>
        </w:tabs>
        <w:ind w:left="5760" w:hanging="360"/>
      </w:pPr>
      <w:rPr>
        <w:rFonts w:ascii="Arial" w:hAnsi="Arial" w:hint="default"/>
      </w:rPr>
    </w:lvl>
    <w:lvl w:ilvl="8" w:tplc="E7C4D0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373F5B"/>
    <w:multiLevelType w:val="hybridMultilevel"/>
    <w:tmpl w:val="FDAC3FBA"/>
    <w:lvl w:ilvl="0" w:tplc="CEE0EDB0">
      <w:start w:val="9"/>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EC8100C"/>
    <w:multiLevelType w:val="hybridMultilevel"/>
    <w:tmpl w:val="17207A38"/>
    <w:lvl w:ilvl="0" w:tplc="46A233F6">
      <w:start w:val="1"/>
      <w:numFmt w:val="decimal"/>
      <w:lvlText w:val="%1."/>
      <w:lvlJc w:val="left"/>
      <w:pPr>
        <w:ind w:left="360" w:hanging="360"/>
      </w:pPr>
      <w:rPr>
        <w:rFonts w:ascii="Arial" w:eastAsia="Times New Roman" w:hAnsi="Arial" w:cs="Arial"/>
        <w:b/>
        <w:bCs/>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0" w15:restartNumberingAfterBreak="0">
    <w:nsid w:val="5C654801"/>
    <w:multiLevelType w:val="hybridMultilevel"/>
    <w:tmpl w:val="08447EC0"/>
    <w:lvl w:ilvl="0" w:tplc="03289550">
      <w:start w:val="1"/>
      <w:numFmt w:val="bullet"/>
      <w:lvlText w:val="•"/>
      <w:lvlJc w:val="left"/>
      <w:pPr>
        <w:tabs>
          <w:tab w:val="num" w:pos="720"/>
        </w:tabs>
        <w:ind w:left="720" w:hanging="360"/>
      </w:pPr>
      <w:rPr>
        <w:rFonts w:ascii="Arial" w:hAnsi="Arial" w:hint="default"/>
      </w:rPr>
    </w:lvl>
    <w:lvl w:ilvl="1" w:tplc="B2F0537E" w:tentative="1">
      <w:start w:val="1"/>
      <w:numFmt w:val="bullet"/>
      <w:lvlText w:val="•"/>
      <w:lvlJc w:val="left"/>
      <w:pPr>
        <w:tabs>
          <w:tab w:val="num" w:pos="1440"/>
        </w:tabs>
        <w:ind w:left="1440" w:hanging="360"/>
      </w:pPr>
      <w:rPr>
        <w:rFonts w:ascii="Arial" w:hAnsi="Arial" w:hint="default"/>
      </w:rPr>
    </w:lvl>
    <w:lvl w:ilvl="2" w:tplc="6096BF12" w:tentative="1">
      <w:start w:val="1"/>
      <w:numFmt w:val="bullet"/>
      <w:lvlText w:val="•"/>
      <w:lvlJc w:val="left"/>
      <w:pPr>
        <w:tabs>
          <w:tab w:val="num" w:pos="2160"/>
        </w:tabs>
        <w:ind w:left="2160" w:hanging="360"/>
      </w:pPr>
      <w:rPr>
        <w:rFonts w:ascii="Arial" w:hAnsi="Arial" w:hint="default"/>
      </w:rPr>
    </w:lvl>
    <w:lvl w:ilvl="3" w:tplc="CA06DA3A" w:tentative="1">
      <w:start w:val="1"/>
      <w:numFmt w:val="bullet"/>
      <w:lvlText w:val="•"/>
      <w:lvlJc w:val="left"/>
      <w:pPr>
        <w:tabs>
          <w:tab w:val="num" w:pos="2880"/>
        </w:tabs>
        <w:ind w:left="2880" w:hanging="360"/>
      </w:pPr>
      <w:rPr>
        <w:rFonts w:ascii="Arial" w:hAnsi="Arial" w:hint="default"/>
      </w:rPr>
    </w:lvl>
    <w:lvl w:ilvl="4" w:tplc="95508A5A" w:tentative="1">
      <w:start w:val="1"/>
      <w:numFmt w:val="bullet"/>
      <w:lvlText w:val="•"/>
      <w:lvlJc w:val="left"/>
      <w:pPr>
        <w:tabs>
          <w:tab w:val="num" w:pos="3600"/>
        </w:tabs>
        <w:ind w:left="3600" w:hanging="360"/>
      </w:pPr>
      <w:rPr>
        <w:rFonts w:ascii="Arial" w:hAnsi="Arial" w:hint="default"/>
      </w:rPr>
    </w:lvl>
    <w:lvl w:ilvl="5" w:tplc="012EB9DA" w:tentative="1">
      <w:start w:val="1"/>
      <w:numFmt w:val="bullet"/>
      <w:lvlText w:val="•"/>
      <w:lvlJc w:val="left"/>
      <w:pPr>
        <w:tabs>
          <w:tab w:val="num" w:pos="4320"/>
        </w:tabs>
        <w:ind w:left="4320" w:hanging="360"/>
      </w:pPr>
      <w:rPr>
        <w:rFonts w:ascii="Arial" w:hAnsi="Arial" w:hint="default"/>
      </w:rPr>
    </w:lvl>
    <w:lvl w:ilvl="6" w:tplc="6C6E549E" w:tentative="1">
      <w:start w:val="1"/>
      <w:numFmt w:val="bullet"/>
      <w:lvlText w:val="•"/>
      <w:lvlJc w:val="left"/>
      <w:pPr>
        <w:tabs>
          <w:tab w:val="num" w:pos="5040"/>
        </w:tabs>
        <w:ind w:left="5040" w:hanging="360"/>
      </w:pPr>
      <w:rPr>
        <w:rFonts w:ascii="Arial" w:hAnsi="Arial" w:hint="default"/>
      </w:rPr>
    </w:lvl>
    <w:lvl w:ilvl="7" w:tplc="84703B62" w:tentative="1">
      <w:start w:val="1"/>
      <w:numFmt w:val="bullet"/>
      <w:lvlText w:val="•"/>
      <w:lvlJc w:val="left"/>
      <w:pPr>
        <w:tabs>
          <w:tab w:val="num" w:pos="5760"/>
        </w:tabs>
        <w:ind w:left="5760" w:hanging="360"/>
      </w:pPr>
      <w:rPr>
        <w:rFonts w:ascii="Arial" w:hAnsi="Arial" w:hint="default"/>
      </w:rPr>
    </w:lvl>
    <w:lvl w:ilvl="8" w:tplc="AC6426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A85539"/>
    <w:multiLevelType w:val="hybridMultilevel"/>
    <w:tmpl w:val="6D6C5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F35909"/>
    <w:multiLevelType w:val="hybridMultilevel"/>
    <w:tmpl w:val="6B342B82"/>
    <w:lvl w:ilvl="0" w:tplc="96CCB3C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6D54B18A">
      <w:start w:val="1"/>
      <w:numFmt w:val="lowerRoman"/>
      <w:lvlText w:val="%3."/>
      <w:lvlJc w:val="right"/>
      <w:pPr>
        <w:ind w:left="2160" w:hanging="180"/>
      </w:pPr>
      <w:rPr>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3A0A4F"/>
    <w:multiLevelType w:val="hybridMultilevel"/>
    <w:tmpl w:val="2DFC6408"/>
    <w:lvl w:ilvl="0" w:tplc="13E224B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3C2944"/>
    <w:multiLevelType w:val="hybridMultilevel"/>
    <w:tmpl w:val="90E89718"/>
    <w:lvl w:ilvl="0" w:tplc="0B866F84">
      <w:start w:val="1"/>
      <w:numFmt w:val="decimal"/>
      <w:lvlText w:val="%1."/>
      <w:lvlJc w:val="left"/>
      <w:pPr>
        <w:tabs>
          <w:tab w:val="num" w:pos="720"/>
        </w:tabs>
        <w:ind w:left="720" w:hanging="360"/>
      </w:pPr>
    </w:lvl>
    <w:lvl w:ilvl="1" w:tplc="AE603518" w:tentative="1">
      <w:start w:val="1"/>
      <w:numFmt w:val="decimal"/>
      <w:lvlText w:val="%2."/>
      <w:lvlJc w:val="left"/>
      <w:pPr>
        <w:tabs>
          <w:tab w:val="num" w:pos="1440"/>
        </w:tabs>
        <w:ind w:left="1440" w:hanging="360"/>
      </w:pPr>
    </w:lvl>
    <w:lvl w:ilvl="2" w:tplc="4D506EE2" w:tentative="1">
      <w:start w:val="1"/>
      <w:numFmt w:val="decimal"/>
      <w:lvlText w:val="%3."/>
      <w:lvlJc w:val="left"/>
      <w:pPr>
        <w:tabs>
          <w:tab w:val="num" w:pos="2160"/>
        </w:tabs>
        <w:ind w:left="2160" w:hanging="360"/>
      </w:pPr>
    </w:lvl>
    <w:lvl w:ilvl="3" w:tplc="5AF845AA" w:tentative="1">
      <w:start w:val="1"/>
      <w:numFmt w:val="decimal"/>
      <w:lvlText w:val="%4."/>
      <w:lvlJc w:val="left"/>
      <w:pPr>
        <w:tabs>
          <w:tab w:val="num" w:pos="2880"/>
        </w:tabs>
        <w:ind w:left="2880" w:hanging="360"/>
      </w:pPr>
    </w:lvl>
    <w:lvl w:ilvl="4" w:tplc="166ED304" w:tentative="1">
      <w:start w:val="1"/>
      <w:numFmt w:val="decimal"/>
      <w:lvlText w:val="%5."/>
      <w:lvlJc w:val="left"/>
      <w:pPr>
        <w:tabs>
          <w:tab w:val="num" w:pos="3600"/>
        </w:tabs>
        <w:ind w:left="3600" w:hanging="360"/>
      </w:pPr>
    </w:lvl>
    <w:lvl w:ilvl="5" w:tplc="FCC849DA" w:tentative="1">
      <w:start w:val="1"/>
      <w:numFmt w:val="decimal"/>
      <w:lvlText w:val="%6."/>
      <w:lvlJc w:val="left"/>
      <w:pPr>
        <w:tabs>
          <w:tab w:val="num" w:pos="4320"/>
        </w:tabs>
        <w:ind w:left="4320" w:hanging="360"/>
      </w:pPr>
    </w:lvl>
    <w:lvl w:ilvl="6" w:tplc="91E47B70" w:tentative="1">
      <w:start w:val="1"/>
      <w:numFmt w:val="decimal"/>
      <w:lvlText w:val="%7."/>
      <w:lvlJc w:val="left"/>
      <w:pPr>
        <w:tabs>
          <w:tab w:val="num" w:pos="5040"/>
        </w:tabs>
        <w:ind w:left="5040" w:hanging="360"/>
      </w:pPr>
    </w:lvl>
    <w:lvl w:ilvl="7" w:tplc="01D6AA46" w:tentative="1">
      <w:start w:val="1"/>
      <w:numFmt w:val="decimal"/>
      <w:lvlText w:val="%8."/>
      <w:lvlJc w:val="left"/>
      <w:pPr>
        <w:tabs>
          <w:tab w:val="num" w:pos="5760"/>
        </w:tabs>
        <w:ind w:left="5760" w:hanging="360"/>
      </w:pPr>
    </w:lvl>
    <w:lvl w:ilvl="8" w:tplc="C0F0719A" w:tentative="1">
      <w:start w:val="1"/>
      <w:numFmt w:val="decimal"/>
      <w:lvlText w:val="%9."/>
      <w:lvlJc w:val="left"/>
      <w:pPr>
        <w:tabs>
          <w:tab w:val="num" w:pos="6480"/>
        </w:tabs>
        <w:ind w:left="6480" w:hanging="360"/>
      </w:pPr>
    </w:lvl>
  </w:abstractNum>
  <w:abstractNum w:abstractNumId="15" w15:restartNumberingAfterBreak="0">
    <w:nsid w:val="7EB24CF7"/>
    <w:multiLevelType w:val="hybridMultilevel"/>
    <w:tmpl w:val="E7B825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5669430">
    <w:abstractNumId w:val="4"/>
  </w:num>
  <w:num w:numId="2" w16cid:durableId="529806322">
    <w:abstractNumId w:val="12"/>
  </w:num>
  <w:num w:numId="3" w16cid:durableId="908075052">
    <w:abstractNumId w:val="0"/>
  </w:num>
  <w:num w:numId="4" w16cid:durableId="367409880">
    <w:abstractNumId w:val="9"/>
  </w:num>
  <w:num w:numId="5" w16cid:durableId="1236940329">
    <w:abstractNumId w:val="14"/>
  </w:num>
  <w:num w:numId="6" w16cid:durableId="1596396951">
    <w:abstractNumId w:val="8"/>
  </w:num>
  <w:num w:numId="7" w16cid:durableId="1826777890">
    <w:abstractNumId w:val="2"/>
  </w:num>
  <w:num w:numId="8" w16cid:durableId="1899246897">
    <w:abstractNumId w:val="7"/>
  </w:num>
  <w:num w:numId="9" w16cid:durableId="948661083">
    <w:abstractNumId w:val="10"/>
  </w:num>
  <w:num w:numId="10" w16cid:durableId="739407478">
    <w:abstractNumId w:val="11"/>
  </w:num>
  <w:num w:numId="11" w16cid:durableId="1785730866">
    <w:abstractNumId w:val="3"/>
  </w:num>
  <w:num w:numId="12" w16cid:durableId="521170368">
    <w:abstractNumId w:val="5"/>
  </w:num>
  <w:num w:numId="13" w16cid:durableId="684211790">
    <w:abstractNumId w:val="1"/>
  </w:num>
  <w:num w:numId="14" w16cid:durableId="42365275">
    <w:abstractNumId w:val="15"/>
  </w:num>
  <w:num w:numId="15" w16cid:durableId="161702503">
    <w:abstractNumId w:val="6"/>
  </w:num>
  <w:num w:numId="16" w16cid:durableId="13171094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88"/>
    <w:rsid w:val="00015BD5"/>
    <w:rsid w:val="00042418"/>
    <w:rsid w:val="00063B43"/>
    <w:rsid w:val="000B7438"/>
    <w:rsid w:val="000E3203"/>
    <w:rsid w:val="000F295B"/>
    <w:rsid w:val="00144566"/>
    <w:rsid w:val="001B624B"/>
    <w:rsid w:val="00213ADE"/>
    <w:rsid w:val="00237854"/>
    <w:rsid w:val="00237A82"/>
    <w:rsid w:val="002A569A"/>
    <w:rsid w:val="003648D0"/>
    <w:rsid w:val="00373BB2"/>
    <w:rsid w:val="003850D4"/>
    <w:rsid w:val="003C0E71"/>
    <w:rsid w:val="0040007A"/>
    <w:rsid w:val="004010AC"/>
    <w:rsid w:val="00403F33"/>
    <w:rsid w:val="004047FB"/>
    <w:rsid w:val="00433EF8"/>
    <w:rsid w:val="0047570E"/>
    <w:rsid w:val="00476AA5"/>
    <w:rsid w:val="0048254D"/>
    <w:rsid w:val="00484269"/>
    <w:rsid w:val="00490D7F"/>
    <w:rsid w:val="005122E5"/>
    <w:rsid w:val="0055064E"/>
    <w:rsid w:val="00564311"/>
    <w:rsid w:val="0056440F"/>
    <w:rsid w:val="00594BAD"/>
    <w:rsid w:val="005A362F"/>
    <w:rsid w:val="005C06BD"/>
    <w:rsid w:val="005F774E"/>
    <w:rsid w:val="00636218"/>
    <w:rsid w:val="00665B97"/>
    <w:rsid w:val="006C0E7D"/>
    <w:rsid w:val="006D53E3"/>
    <w:rsid w:val="006E2581"/>
    <w:rsid w:val="006E5B2A"/>
    <w:rsid w:val="00725759"/>
    <w:rsid w:val="00730537"/>
    <w:rsid w:val="007A27F2"/>
    <w:rsid w:val="007C2ADA"/>
    <w:rsid w:val="007C6754"/>
    <w:rsid w:val="007E0437"/>
    <w:rsid w:val="007F13BF"/>
    <w:rsid w:val="00806117"/>
    <w:rsid w:val="008809C6"/>
    <w:rsid w:val="008B17C6"/>
    <w:rsid w:val="008C7C88"/>
    <w:rsid w:val="008D08CE"/>
    <w:rsid w:val="008E7252"/>
    <w:rsid w:val="009026AD"/>
    <w:rsid w:val="00981994"/>
    <w:rsid w:val="009C1D7E"/>
    <w:rsid w:val="009E0727"/>
    <w:rsid w:val="009E533E"/>
    <w:rsid w:val="00A17948"/>
    <w:rsid w:val="00A258F6"/>
    <w:rsid w:val="00A52920"/>
    <w:rsid w:val="00A91CD8"/>
    <w:rsid w:val="00B613F6"/>
    <w:rsid w:val="00B923E6"/>
    <w:rsid w:val="00BB07A8"/>
    <w:rsid w:val="00BC70D0"/>
    <w:rsid w:val="00BD63BA"/>
    <w:rsid w:val="00BF2CE4"/>
    <w:rsid w:val="00C066A2"/>
    <w:rsid w:val="00C21EE7"/>
    <w:rsid w:val="00C801D5"/>
    <w:rsid w:val="00C8336A"/>
    <w:rsid w:val="00CE4964"/>
    <w:rsid w:val="00CF302D"/>
    <w:rsid w:val="00CF5BED"/>
    <w:rsid w:val="00D0510F"/>
    <w:rsid w:val="00D115D5"/>
    <w:rsid w:val="00D77271"/>
    <w:rsid w:val="00DD0CBC"/>
    <w:rsid w:val="00DF6567"/>
    <w:rsid w:val="00E1113F"/>
    <w:rsid w:val="00E51838"/>
    <w:rsid w:val="00E82A60"/>
    <w:rsid w:val="00EC2C4B"/>
    <w:rsid w:val="00F81CE7"/>
    <w:rsid w:val="00FB3886"/>
    <w:rsid w:val="00FB579B"/>
    <w:rsid w:val="00FE4D2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214D"/>
  <w15:chartTrackingRefBased/>
  <w15:docId w15:val="{3EE3909E-2382-4CCF-9FC1-B89E508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9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52920"/>
    <w:rPr>
      <w:b/>
      <w:bCs/>
    </w:rPr>
  </w:style>
  <w:style w:type="paragraph" w:styleId="ListParagraph">
    <w:name w:val="List Paragraph"/>
    <w:basedOn w:val="Normal"/>
    <w:uiPriority w:val="34"/>
    <w:qFormat/>
    <w:rsid w:val="00433EF8"/>
    <w:pPr>
      <w:ind w:left="720"/>
      <w:contextualSpacing/>
    </w:pPr>
  </w:style>
  <w:style w:type="character" w:styleId="Emphasis">
    <w:name w:val="Emphasis"/>
    <w:basedOn w:val="DefaultParagraphFont"/>
    <w:uiPriority w:val="20"/>
    <w:qFormat/>
    <w:rsid w:val="000E3203"/>
    <w:rPr>
      <w:i/>
      <w:iCs/>
    </w:rPr>
  </w:style>
  <w:style w:type="table" w:styleId="TableGrid">
    <w:name w:val="Table Grid"/>
    <w:basedOn w:val="TableNormal"/>
    <w:uiPriority w:val="39"/>
    <w:rsid w:val="00FE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518">
      <w:bodyDiv w:val="1"/>
      <w:marLeft w:val="0"/>
      <w:marRight w:val="0"/>
      <w:marTop w:val="0"/>
      <w:marBottom w:val="0"/>
      <w:divBdr>
        <w:top w:val="none" w:sz="0" w:space="0" w:color="auto"/>
        <w:left w:val="none" w:sz="0" w:space="0" w:color="auto"/>
        <w:bottom w:val="none" w:sz="0" w:space="0" w:color="auto"/>
        <w:right w:val="none" w:sz="0" w:space="0" w:color="auto"/>
      </w:divBdr>
    </w:div>
    <w:div w:id="626932450">
      <w:bodyDiv w:val="1"/>
      <w:marLeft w:val="0"/>
      <w:marRight w:val="0"/>
      <w:marTop w:val="0"/>
      <w:marBottom w:val="0"/>
      <w:divBdr>
        <w:top w:val="none" w:sz="0" w:space="0" w:color="auto"/>
        <w:left w:val="none" w:sz="0" w:space="0" w:color="auto"/>
        <w:bottom w:val="none" w:sz="0" w:space="0" w:color="auto"/>
        <w:right w:val="none" w:sz="0" w:space="0" w:color="auto"/>
      </w:divBdr>
      <w:divsChild>
        <w:div w:id="728963078">
          <w:marLeft w:val="446"/>
          <w:marRight w:val="0"/>
          <w:marTop w:val="0"/>
          <w:marBottom w:val="0"/>
          <w:divBdr>
            <w:top w:val="none" w:sz="0" w:space="0" w:color="auto"/>
            <w:left w:val="none" w:sz="0" w:space="0" w:color="auto"/>
            <w:bottom w:val="none" w:sz="0" w:space="0" w:color="auto"/>
            <w:right w:val="none" w:sz="0" w:space="0" w:color="auto"/>
          </w:divBdr>
        </w:div>
      </w:divsChild>
    </w:div>
    <w:div w:id="821041016">
      <w:bodyDiv w:val="1"/>
      <w:marLeft w:val="0"/>
      <w:marRight w:val="0"/>
      <w:marTop w:val="0"/>
      <w:marBottom w:val="0"/>
      <w:divBdr>
        <w:top w:val="none" w:sz="0" w:space="0" w:color="auto"/>
        <w:left w:val="none" w:sz="0" w:space="0" w:color="auto"/>
        <w:bottom w:val="none" w:sz="0" w:space="0" w:color="auto"/>
        <w:right w:val="none" w:sz="0" w:space="0" w:color="auto"/>
      </w:divBdr>
    </w:div>
    <w:div w:id="934217221">
      <w:bodyDiv w:val="1"/>
      <w:marLeft w:val="0"/>
      <w:marRight w:val="0"/>
      <w:marTop w:val="0"/>
      <w:marBottom w:val="0"/>
      <w:divBdr>
        <w:top w:val="none" w:sz="0" w:space="0" w:color="auto"/>
        <w:left w:val="none" w:sz="0" w:space="0" w:color="auto"/>
        <w:bottom w:val="none" w:sz="0" w:space="0" w:color="auto"/>
        <w:right w:val="none" w:sz="0" w:space="0" w:color="auto"/>
      </w:divBdr>
    </w:div>
    <w:div w:id="1364746061">
      <w:bodyDiv w:val="1"/>
      <w:marLeft w:val="0"/>
      <w:marRight w:val="0"/>
      <w:marTop w:val="0"/>
      <w:marBottom w:val="0"/>
      <w:divBdr>
        <w:top w:val="none" w:sz="0" w:space="0" w:color="auto"/>
        <w:left w:val="none" w:sz="0" w:space="0" w:color="auto"/>
        <w:bottom w:val="none" w:sz="0" w:space="0" w:color="auto"/>
        <w:right w:val="none" w:sz="0" w:space="0" w:color="auto"/>
      </w:divBdr>
    </w:div>
    <w:div w:id="1526410100">
      <w:bodyDiv w:val="1"/>
      <w:marLeft w:val="0"/>
      <w:marRight w:val="0"/>
      <w:marTop w:val="0"/>
      <w:marBottom w:val="0"/>
      <w:divBdr>
        <w:top w:val="none" w:sz="0" w:space="0" w:color="auto"/>
        <w:left w:val="none" w:sz="0" w:space="0" w:color="auto"/>
        <w:bottom w:val="none" w:sz="0" w:space="0" w:color="auto"/>
        <w:right w:val="none" w:sz="0" w:space="0" w:color="auto"/>
      </w:divBdr>
      <w:divsChild>
        <w:div w:id="698892018">
          <w:marLeft w:val="720"/>
          <w:marRight w:val="0"/>
          <w:marTop w:val="0"/>
          <w:marBottom w:val="0"/>
          <w:divBdr>
            <w:top w:val="none" w:sz="0" w:space="0" w:color="auto"/>
            <w:left w:val="none" w:sz="0" w:space="0" w:color="auto"/>
            <w:bottom w:val="none" w:sz="0" w:space="0" w:color="auto"/>
            <w:right w:val="none" w:sz="0" w:space="0" w:color="auto"/>
          </w:divBdr>
        </w:div>
        <w:div w:id="313880522">
          <w:marLeft w:val="720"/>
          <w:marRight w:val="0"/>
          <w:marTop w:val="0"/>
          <w:marBottom w:val="0"/>
          <w:divBdr>
            <w:top w:val="none" w:sz="0" w:space="0" w:color="auto"/>
            <w:left w:val="none" w:sz="0" w:space="0" w:color="auto"/>
            <w:bottom w:val="none" w:sz="0" w:space="0" w:color="auto"/>
            <w:right w:val="none" w:sz="0" w:space="0" w:color="auto"/>
          </w:divBdr>
        </w:div>
        <w:div w:id="1900285955">
          <w:marLeft w:val="720"/>
          <w:marRight w:val="0"/>
          <w:marTop w:val="0"/>
          <w:marBottom w:val="0"/>
          <w:divBdr>
            <w:top w:val="none" w:sz="0" w:space="0" w:color="auto"/>
            <w:left w:val="none" w:sz="0" w:space="0" w:color="auto"/>
            <w:bottom w:val="none" w:sz="0" w:space="0" w:color="auto"/>
            <w:right w:val="none" w:sz="0" w:space="0" w:color="auto"/>
          </w:divBdr>
        </w:div>
      </w:divsChild>
    </w:div>
    <w:div w:id="1564633317">
      <w:bodyDiv w:val="1"/>
      <w:marLeft w:val="0"/>
      <w:marRight w:val="0"/>
      <w:marTop w:val="0"/>
      <w:marBottom w:val="0"/>
      <w:divBdr>
        <w:top w:val="none" w:sz="0" w:space="0" w:color="auto"/>
        <w:left w:val="none" w:sz="0" w:space="0" w:color="auto"/>
        <w:bottom w:val="none" w:sz="0" w:space="0" w:color="auto"/>
        <w:right w:val="none" w:sz="0" w:space="0" w:color="auto"/>
      </w:divBdr>
    </w:div>
    <w:div w:id="1847088744">
      <w:bodyDiv w:val="1"/>
      <w:marLeft w:val="0"/>
      <w:marRight w:val="0"/>
      <w:marTop w:val="0"/>
      <w:marBottom w:val="0"/>
      <w:divBdr>
        <w:top w:val="none" w:sz="0" w:space="0" w:color="auto"/>
        <w:left w:val="none" w:sz="0" w:space="0" w:color="auto"/>
        <w:bottom w:val="none" w:sz="0" w:space="0" w:color="auto"/>
        <w:right w:val="none" w:sz="0" w:space="0" w:color="auto"/>
      </w:divBdr>
    </w:div>
    <w:div w:id="2075276479">
      <w:bodyDiv w:val="1"/>
      <w:marLeft w:val="0"/>
      <w:marRight w:val="0"/>
      <w:marTop w:val="0"/>
      <w:marBottom w:val="0"/>
      <w:divBdr>
        <w:top w:val="none" w:sz="0" w:space="0" w:color="auto"/>
        <w:left w:val="none" w:sz="0" w:space="0" w:color="auto"/>
        <w:bottom w:val="none" w:sz="0" w:space="0" w:color="auto"/>
        <w:right w:val="none" w:sz="0" w:space="0" w:color="auto"/>
      </w:divBdr>
      <w:divsChild>
        <w:div w:id="1547990498">
          <w:marLeft w:val="446"/>
          <w:marRight w:val="0"/>
          <w:marTop w:val="0"/>
          <w:marBottom w:val="0"/>
          <w:divBdr>
            <w:top w:val="none" w:sz="0" w:space="0" w:color="auto"/>
            <w:left w:val="none" w:sz="0" w:space="0" w:color="auto"/>
            <w:bottom w:val="none" w:sz="0" w:space="0" w:color="auto"/>
            <w:right w:val="none" w:sz="0" w:space="0" w:color="auto"/>
          </w:divBdr>
        </w:div>
        <w:div w:id="1978025909">
          <w:marLeft w:val="446"/>
          <w:marRight w:val="0"/>
          <w:marTop w:val="0"/>
          <w:marBottom w:val="0"/>
          <w:divBdr>
            <w:top w:val="none" w:sz="0" w:space="0" w:color="auto"/>
            <w:left w:val="none" w:sz="0" w:space="0" w:color="auto"/>
            <w:bottom w:val="none" w:sz="0" w:space="0" w:color="auto"/>
            <w:right w:val="none" w:sz="0" w:space="0" w:color="auto"/>
          </w:divBdr>
        </w:div>
      </w:divsChild>
    </w:div>
    <w:div w:id="20894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8db12d-2e99-4c5c-a233-4a4a0c2acd26">
      <Terms xmlns="http://schemas.microsoft.com/office/infopath/2007/PartnerControls"/>
    </lcf76f155ced4ddcb4097134ff3c332f>
    <TaxCatchAll xmlns="4cc5f488-8a31-4952-b862-fbdca3554c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9EF2D2D61B44890D63CED46E8BF94" ma:contentTypeVersion="17" ma:contentTypeDescription="Create a new document." ma:contentTypeScope="" ma:versionID="88c3e03a2ecea0a34ada7bb30ab3f746">
  <xsd:schema xmlns:xsd="http://www.w3.org/2001/XMLSchema" xmlns:xs="http://www.w3.org/2001/XMLSchema" xmlns:p="http://schemas.microsoft.com/office/2006/metadata/properties" xmlns:ns2="b88db12d-2e99-4c5c-a233-4a4a0c2acd26" xmlns:ns3="4cc5f488-8a31-4952-b862-fbdca3554c38" targetNamespace="http://schemas.microsoft.com/office/2006/metadata/properties" ma:root="true" ma:fieldsID="621913c5b9e5fe1efcf7807bee647519" ns2:_="" ns3:_="">
    <xsd:import namespace="b88db12d-2e99-4c5c-a233-4a4a0c2acd26"/>
    <xsd:import namespace="4cc5f488-8a31-4952-b862-fbdca3554c38"/>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db12d-2e99-4c5c-a233-4a4a0c2acd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4f8b9-ff0d-49c8-90d9-213bc5de434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5f488-8a31-4952-b862-fbdca3554c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fb96aa3-e4c0-4ce9-902d-39734929d3c1}" ma:internalName="TaxCatchAll" ma:showField="CatchAllData" ma:web="4cc5f488-8a31-4952-b862-fbdca3554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8CEE0-4C38-4A3E-B4AC-4897548F2BE9}">
  <ds:schemaRefs>
    <ds:schemaRef ds:uri="http://schemas.microsoft.com/office/2006/metadata/properties"/>
    <ds:schemaRef ds:uri="http://schemas.microsoft.com/office/infopath/2007/PartnerControls"/>
    <ds:schemaRef ds:uri="b88db12d-2e99-4c5c-a233-4a4a0c2acd26"/>
    <ds:schemaRef ds:uri="4cc5f488-8a31-4952-b862-fbdca3554c38"/>
  </ds:schemaRefs>
</ds:datastoreItem>
</file>

<file path=customXml/itemProps2.xml><?xml version="1.0" encoding="utf-8"?>
<ds:datastoreItem xmlns:ds="http://schemas.openxmlformats.org/officeDocument/2006/customXml" ds:itemID="{EF25E679-689A-48A9-AAAA-B0769683F94A}">
  <ds:schemaRefs>
    <ds:schemaRef ds:uri="http://schemas.microsoft.com/sharepoint/v3/contenttype/forms"/>
  </ds:schemaRefs>
</ds:datastoreItem>
</file>

<file path=customXml/itemProps3.xml><?xml version="1.0" encoding="utf-8"?>
<ds:datastoreItem xmlns:ds="http://schemas.openxmlformats.org/officeDocument/2006/customXml" ds:itemID="{99EF295F-C740-4DF1-9822-9087BC9F4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db12d-2e99-4c5c-a233-4a4a0c2acd26"/>
    <ds:schemaRef ds:uri="4cc5f488-8a31-4952-b862-fbdca3554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Besner</dc:creator>
  <cp:keywords/>
  <dc:description/>
  <cp:lastModifiedBy>Janice Besner</cp:lastModifiedBy>
  <cp:revision>2</cp:revision>
  <dcterms:created xsi:type="dcterms:W3CDTF">2023-05-29T02:34:00Z</dcterms:created>
  <dcterms:modified xsi:type="dcterms:W3CDTF">2023-05-29T02:34:00Z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0x010100F0C364EA63ADA7468DAC0B254C13474E</vt:lpwstr>
  </property>
  <property fmtid="{D5CDD505-2E9C-101B-9397-08002B2CF9AE}" pid="3" name="MediaServiceImageTags">
    <vt:lpwstr/>
  </property>
</Properties>
</file>