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D943" w14:textId="7078AF80" w:rsidR="00403F33" w:rsidRPr="00AA7327" w:rsidRDefault="001B624B" w:rsidP="00A529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82CA"/>
          <w:sz w:val="26"/>
          <w:szCs w:val="26"/>
          <w:bdr w:val="none" w:sz="0" w:space="0" w:color="auto" w:frame="1"/>
        </w:rPr>
      </w:pPr>
      <w:r w:rsidRPr="00AA7327">
        <w:rPr>
          <w:rStyle w:val="Strong"/>
          <w:rFonts w:ascii="Arial" w:hAnsi="Arial" w:cs="Arial"/>
          <w:color w:val="0082CA"/>
          <w:sz w:val="26"/>
          <w:szCs w:val="26"/>
          <w:bdr w:val="none" w:sz="0" w:space="0" w:color="auto" w:frame="1"/>
          <w:lang w:val="it"/>
        </w:rPr>
        <w:t>Marzo 2023</w:t>
      </w:r>
    </w:p>
    <w:p w14:paraId="2B93C828" w14:textId="51E21516" w:rsidR="00A52920" w:rsidRPr="00AA7327" w:rsidRDefault="00A52920" w:rsidP="00A529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0082CA"/>
          <w:sz w:val="26"/>
          <w:szCs w:val="26"/>
          <w:bdr w:val="none" w:sz="0" w:space="0" w:color="auto" w:frame="1"/>
        </w:rPr>
      </w:pPr>
      <w:r w:rsidRPr="00AA7327">
        <w:rPr>
          <w:rStyle w:val="Strong"/>
          <w:rFonts w:ascii="Arial" w:hAnsi="Arial" w:cs="Arial"/>
          <w:color w:val="0082CA"/>
          <w:sz w:val="26"/>
          <w:szCs w:val="26"/>
          <w:bdr w:val="none" w:sz="0" w:space="0" w:color="auto" w:frame="1"/>
          <w:lang w:val="it"/>
        </w:rPr>
        <w:t>Rilascio della dichiarazione sulla politica DEI (Diversità, Equità e Inclusione)</w:t>
      </w:r>
    </w:p>
    <w:p w14:paraId="694FD451" w14:textId="72AB496A" w:rsidR="001B624B" w:rsidRPr="00CF5BED" w:rsidRDefault="001B624B" w:rsidP="00A5292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vanish/>
          <w:bdr w:val="none" w:sz="0" w:space="0" w:color="auto" w:frame="1"/>
        </w:rPr>
      </w:pPr>
      <w:r>
        <w:rPr>
          <w:rStyle w:val="Strong"/>
          <w:rFonts w:ascii="Arial" w:hAnsi="Arial" w:cs="Arial"/>
          <w:vanish/>
          <w:highlight w:val="yellow"/>
          <w:bdr w:val="none" w:sz="0" w:space="0" w:color="auto" w:frame="1"/>
        </w:rPr>
        <w:t>Languages- French, English, Arabic, Spanish, Italian, Creoles, Greek, Chinese, Portuguese, Romanian, Hebrew, Russian, German, Cantonese, Punjabi</w:t>
      </w:r>
    </w:p>
    <w:p w14:paraId="051C575A" w14:textId="12AA0065" w:rsidR="00373BB2" w:rsidRPr="00AA7327" w:rsidRDefault="00FB579B" w:rsidP="00373BB2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282828"/>
          <w:sz w:val="22"/>
          <w:szCs w:val="22"/>
          <w:lang w:val="it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it"/>
        </w:rPr>
        <w:t xml:space="preserve">Inoltrare </w:t>
      </w:r>
      <w:r>
        <w:rPr>
          <w:rFonts w:ascii="Arial" w:hAnsi="Arial" w:cs="Arial"/>
          <w:color w:val="282828"/>
          <w:sz w:val="22"/>
          <w:szCs w:val="22"/>
          <w:lang w:val="it"/>
        </w:rPr>
        <w:br/>
        <w:t>Il Cummings Centre, uno dei leader nel campo del buon invecchiamento, è un’associazione comunitaria senza scopo di lucro situata a Montréal, nel Québec, al servizio della popolazione ultra cinquantenne.  Per restare al passo con le necessità in continua evoluzione di questa fascia demografica e sulla base della passione e della diversità dei propri volontari, membri, donatori e del personale, il Cummings Centre, nell’ambito del proprio Piano Strategico di Aggiornamento, ha intrapreso un approccio multidimensionale per affrontare la diversità, l’equità, l’inclusione e l’appartenenza in tutti gli aspetti dell’organizzazione.</w:t>
      </w:r>
    </w:p>
    <w:p w14:paraId="67DE462E" w14:textId="319DCD0E" w:rsidR="00725759" w:rsidRPr="00AA7327" w:rsidRDefault="00725759" w:rsidP="00725759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282828"/>
          <w:sz w:val="22"/>
          <w:szCs w:val="22"/>
          <w:lang w:val="it"/>
        </w:rPr>
      </w:pPr>
      <w:r>
        <w:rPr>
          <w:rFonts w:ascii="Arial" w:hAnsi="Arial" w:cs="Arial"/>
          <w:color w:val="282828"/>
          <w:sz w:val="22"/>
          <w:szCs w:val="22"/>
          <w:lang w:val="it"/>
        </w:rPr>
        <w:t>Basandosi sui propri valori, per far avanzare gli impegni DEI del Centro è stata formata una Task Force di Diversità, Equità e Inclusione subordinata al Consiglio di Amministrazione. Pertanto, la seguente dichiarazione sulla Politica DEI è stata sviluppata tenendo conto dei pareri ricevuti da una serie di focus group e dal Consiglio di Amministrazione.</w:t>
      </w:r>
    </w:p>
    <w:p w14:paraId="08ADEB92" w14:textId="309B8EF8" w:rsidR="005122E5" w:rsidRPr="00AA7327" w:rsidRDefault="005122E5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b/>
          <w:bCs/>
          <w:color w:val="0070C0"/>
          <w:sz w:val="22"/>
          <w:szCs w:val="22"/>
          <w:u w:val="single"/>
          <w:lang w:val="it"/>
        </w:rPr>
      </w:pPr>
      <w:r>
        <w:rPr>
          <w:rFonts w:ascii="Arial" w:eastAsia="Arial" w:hAnsi="Arial" w:cs="Arial"/>
          <w:b/>
          <w:bCs/>
          <w:color w:val="0070C0"/>
          <w:sz w:val="22"/>
          <w:szCs w:val="22"/>
          <w:u w:val="single"/>
          <w:lang w:val="it"/>
        </w:rPr>
        <w:t xml:space="preserve">Dichiarazione </w:t>
      </w:r>
    </w:p>
    <w:p w14:paraId="1FE4A637" w14:textId="69053ACE" w:rsidR="007C6754" w:rsidRPr="00AA7327" w:rsidRDefault="007C6754" w:rsidP="007C6754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it"/>
        </w:rPr>
        <w:t>Il Cummings Jewish Centre for Seniors si impegna a creare un’organizzazione inclusiva dove tutti si sentono di appartenere e con accesso equo a opportunità e avanzamenti di carriera. Siamo un’organizzazione che promuove e valorizza la diversità. Accogliamo e rispettiamo tutti, senza distinzione di razza, religione, etnia, età, stato socioeconomico, lingua, orientamento sessuale, identità sessuale, disabilità o qualsiasi altro fattore. Non tolleriamo discriminazioni a qualsiasi titolo. Insieme ci impegniamo a costruire una cultura inclusiva che incoraggia, sostiene e celebra le diverse voci del nostro staff, dei nostri volontari, dei nostri membri e dei nostri clienti.</w:t>
      </w:r>
    </w:p>
    <w:p w14:paraId="3A41C49B" w14:textId="77777777" w:rsidR="007C6754" w:rsidRPr="00AA7327" w:rsidRDefault="007C6754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</w:p>
    <w:p w14:paraId="21C9593C" w14:textId="5FD956FE" w:rsidR="007C6754" w:rsidRPr="00AA7327" w:rsidRDefault="007C6754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it"/>
        </w:rPr>
        <w:t>Il nostro impegno all’inclusione verrà rispecchiato nelle nostre politiche e procedure organizzative, nelle nostre pratiche di assunzione, nel nostro piano strategico, all’interno dei nostri obiettivi organizzativi e sarà evidente nella nostra programmazione e allocazione eterogenea delle</w:t>
      </w:r>
      <w:r>
        <w:rPr>
          <w:rFonts w:ascii="Arial" w:eastAsia="Arial" w:hAnsi="Arial" w:cs="Arial"/>
          <w:i/>
          <w:iCs/>
          <w:color w:val="4472C4" w:themeColor="accent1"/>
          <w:sz w:val="22"/>
          <w:szCs w:val="22"/>
          <w:lang w:val="it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it"/>
        </w:rPr>
        <w:t>risorse.</w:t>
      </w:r>
    </w:p>
    <w:p w14:paraId="4C82358D" w14:textId="2FEB3394" w:rsidR="00484269" w:rsidRPr="00AA7327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  <w:r>
        <w:rPr>
          <w:rFonts w:ascii="Arial" w:eastAsia="Arial" w:hAnsi="Arial" w:cs="Arial"/>
          <w:i/>
          <w:iCs/>
          <w:noProof/>
          <w:color w:val="000000" w:themeColor="text1"/>
          <w:sz w:val="22"/>
          <w:szCs w:val="22"/>
          <w:lang w:val="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3CA4" wp14:editId="6D2689E2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126480" cy="640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59C46" w14:textId="0B46BB80" w:rsidR="00725759" w:rsidRPr="00806117" w:rsidRDefault="007257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it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"/>
                              </w:rPr>
                              <w:t xml:space="preserve">I valori del Cummings Centre includono: </w:t>
                            </w:r>
                            <w:r>
                              <w:rPr>
                                <w:b/>
                                <w:bCs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"/>
                              </w:rPr>
                              <w:t>rispetto, dignità, diversità, equità, inclusività, empowerment, eccellenza, compassione e impegno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53C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2pt;width:482.4pt;height:50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" fillcolor="white [3201]" strokeweight=".5pt">
                <v:textbox>
                  <w:txbxContent>
                    <w:p w14:paraId="1C759C46" w14:textId="0B46BB80" w:rsidR="00725759" w:rsidRPr="00806117" w:rsidRDefault="007257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Cummings Centre values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include: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Respect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dignity, diversity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equity,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inclusivity, empowerment, excellence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compassion, and commitment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43754" w14:textId="3F9B6729" w:rsidR="00484269" w:rsidRPr="00AA7327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</w:p>
    <w:p w14:paraId="47D15AF9" w14:textId="459BDC72" w:rsidR="00484269" w:rsidRPr="00AA7327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</w:p>
    <w:p w14:paraId="0764E107" w14:textId="44197454" w:rsidR="00484269" w:rsidRPr="00AA7327" w:rsidRDefault="00484269" w:rsidP="007C6754">
      <w:pPr>
        <w:pStyle w:val="NormalWeb"/>
        <w:spacing w:before="0" w:beforeAutospacing="0" w:after="0" w:afterAutospacing="0" w:line="276" w:lineRule="auto"/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fr-FR"/>
        </w:rPr>
      </w:pPr>
    </w:p>
    <w:p w14:paraId="5F2BF879" w14:textId="78E2CD51" w:rsidR="00433EF8" w:rsidRPr="001B624B" w:rsidRDefault="00DF6567" w:rsidP="00433EF8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it"/>
        </w:rPr>
        <w:t xml:space="preserve">Uno sguardo sul futuro - il nostro impegno DEI (Diversità, Equità e Inclusione) </w:t>
      </w:r>
    </w:p>
    <w:p w14:paraId="4C97E12B" w14:textId="77C01446" w:rsidR="00BB07A8" w:rsidRPr="001B624B" w:rsidRDefault="00015BD5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it"/>
        </w:rPr>
        <w:t>Allineare sia le Risorse Umane che le Risorse Finanziarie</w:t>
      </w:r>
      <w:r>
        <w:rPr>
          <w:rFonts w:ascii="Arial" w:hAnsi="Arial" w:cs="Arial"/>
          <w:b/>
          <w:bCs/>
          <w:sz w:val="22"/>
          <w:szCs w:val="22"/>
          <w:lang w:val="it"/>
        </w:rPr>
        <w:t xml:space="preserve"> </w:t>
      </w:r>
      <w:r>
        <w:rPr>
          <w:rFonts w:ascii="Arial" w:hAnsi="Arial" w:cs="Arial"/>
          <w:sz w:val="22"/>
          <w:szCs w:val="22"/>
          <w:lang w:val="it"/>
        </w:rPr>
        <w:t>per supportare le buone prassi</w:t>
      </w:r>
    </w:p>
    <w:p w14:paraId="6640B8EA" w14:textId="77777777" w:rsidR="00BB07A8" w:rsidRPr="001B624B" w:rsidRDefault="00BB07A8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>Fornire opportunità di Formazione e Sviluppo Professionale</w:t>
      </w:r>
      <w:r>
        <w:rPr>
          <w:rFonts w:ascii="Arial" w:hAnsi="Arial" w:cs="Arial"/>
          <w:sz w:val="22"/>
          <w:szCs w:val="22"/>
          <w:lang w:val="it"/>
        </w:rPr>
        <w:t xml:space="preserve"> </w:t>
      </w:r>
    </w:p>
    <w:p w14:paraId="409DF50E" w14:textId="59CCC11A" w:rsidR="00BB07A8" w:rsidRPr="001B624B" w:rsidRDefault="00DF6567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Dare priorità alla Diversificazione Dell’Amministrazione </w:t>
      </w:r>
    </w:p>
    <w:p w14:paraId="7A54B210" w14:textId="38C7D818" w:rsidR="00B613F6" w:rsidRPr="00AA7327" w:rsidRDefault="00DF6567" w:rsidP="00BB07A8">
      <w:pPr>
        <w:pStyle w:val="Normal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Migliorare l’Accessibilità - </w:t>
      </w:r>
      <w:r>
        <w:rPr>
          <w:rFonts w:ascii="Arial" w:hAnsi="Arial" w:cs="Arial"/>
          <w:sz w:val="22"/>
          <w:szCs w:val="22"/>
          <w:lang w:val="it"/>
        </w:rPr>
        <w:t xml:space="preserve">valutare e applicare le buone prassi per l’accessibilità in diversi ambiti tra cui: le strutture del Centro e piattaforme tecnologiche e di comunicazione </w:t>
      </w:r>
    </w:p>
    <w:p w14:paraId="03664911" w14:textId="162A38F3" w:rsidR="00015BD5" w:rsidRPr="001B624B" w:rsidRDefault="008B17C6" w:rsidP="00B613F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lastRenderedPageBreak/>
        <w:t>Risultati ad oggi</w:t>
      </w:r>
    </w:p>
    <w:p w14:paraId="224A73E4" w14:textId="0FF9B36D" w:rsidR="00C066A2" w:rsidRPr="001B624B" w:rsidRDefault="00564311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Condotta una serie di Focus Group </w:t>
      </w:r>
      <w:r>
        <w:rPr>
          <w:rFonts w:ascii="Arial" w:hAnsi="Arial" w:cs="Arial"/>
          <w:sz w:val="22"/>
          <w:szCs w:val="22"/>
          <w:lang w:val="it"/>
        </w:rPr>
        <w:t>a cui hanno partecipato partner della comunità, organizzazioni della comunità e lo staff**</w:t>
      </w:r>
    </w:p>
    <w:p w14:paraId="5E9F8ADE" w14:textId="196E407D" w:rsidR="00C066A2" w:rsidRPr="001B624B" w:rsidRDefault="00665B97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Ampliato il campo di selezione del personale </w:t>
      </w:r>
      <w:r>
        <w:rPr>
          <w:rFonts w:ascii="Arial" w:hAnsi="Arial" w:cs="Arial"/>
          <w:sz w:val="22"/>
          <w:szCs w:val="22"/>
          <w:lang w:val="it"/>
        </w:rPr>
        <w:t>per promuovere una forza lavoro più diversificata che rispecchi le varie età, culture, abilità, identità di genere e lingue per rappresentare i diversi clienti che desideriamo servire</w:t>
      </w:r>
    </w:p>
    <w:p w14:paraId="17A6C85B" w14:textId="60B01842" w:rsidR="00015BD5" w:rsidRPr="00AA7327" w:rsidRDefault="00564311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Incrementata l’accessibilità </w:t>
      </w:r>
      <w:r>
        <w:rPr>
          <w:rFonts w:ascii="Arial" w:hAnsi="Arial" w:cs="Arial"/>
          <w:sz w:val="22"/>
          <w:szCs w:val="22"/>
          <w:lang w:val="it"/>
        </w:rPr>
        <w:t>per gli adulti ultra cinquantenni che parlano francese e russo tramite programmi di traduzione simultanea</w:t>
      </w:r>
    </w:p>
    <w:p w14:paraId="0B5A71DC" w14:textId="3187F0F5" w:rsidR="00BC70D0" w:rsidRPr="00AA7327" w:rsidRDefault="00213ADE" w:rsidP="00C066A2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Ampliato la nostra presenza per i francofoni </w:t>
      </w:r>
      <w:r>
        <w:rPr>
          <w:rFonts w:ascii="Arial" w:hAnsi="Arial" w:cs="Arial"/>
          <w:sz w:val="22"/>
          <w:szCs w:val="22"/>
          <w:lang w:val="it"/>
        </w:rPr>
        <w:t>incrementando le nostre spese nei Media Francesi e facendo crescere la nostra rete attraverso diversi Tavoli di Consultazione e anche gruppi Sefarditi</w:t>
      </w:r>
    </w:p>
    <w:p w14:paraId="5FE8828F" w14:textId="4733B9CD" w:rsidR="00564311" w:rsidRPr="001B624B" w:rsidRDefault="00564311" w:rsidP="00C066A2">
      <w:pPr>
        <w:pStyle w:val="NormalWeb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"/>
        </w:rPr>
        <w:t xml:space="preserve">Costruito partnership </w:t>
      </w:r>
      <w:r>
        <w:rPr>
          <w:rFonts w:ascii="Arial" w:hAnsi="Arial" w:cs="Arial"/>
          <w:i/>
          <w:iCs/>
          <w:sz w:val="22"/>
          <w:szCs w:val="22"/>
          <w:lang w:val="it"/>
        </w:rPr>
        <w:t>con organizzazioni che rispecchiano LGBTQ+, interreligiosità, diversità culturale, inclusione delle disabilità e la comunità canadese. </w:t>
      </w:r>
    </w:p>
    <w:p w14:paraId="6E771FF3" w14:textId="64CA88E5" w:rsidR="00D115D5" w:rsidRPr="001B624B" w:rsidRDefault="00237854" w:rsidP="002E099D">
      <w:pPr>
        <w:pStyle w:val="NormalWeb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it"/>
        </w:rPr>
        <w:t>Fornita formazione allo staff e ai volontari sulle buone prassi in materia di DEI (Diversità, Equità e Inclusione)</w:t>
      </w:r>
    </w:p>
    <w:p w14:paraId="3151D354" w14:textId="0FE87DA5" w:rsidR="009026AD" w:rsidRPr="00AA7327" w:rsidRDefault="009026AD" w:rsidP="00D115D5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it"/>
        </w:rPr>
        <w:t xml:space="preserve">** Focus Group N. 1- Inglese (TIP OA, Gay and Grey, JEM Workshop, Beth Tikvah Synagogue, B’nai Brith residence)  </w:t>
      </w:r>
      <w:r>
        <w:rPr>
          <w:rFonts w:ascii="Arial" w:hAnsi="Arial" w:cs="Arial"/>
          <w:sz w:val="22"/>
          <w:szCs w:val="22"/>
          <w:lang w:val="it"/>
        </w:rPr>
        <w:br/>
      </w:r>
      <w:r>
        <w:rPr>
          <w:rFonts w:ascii="Arial" w:hAnsi="Arial" w:cs="Arial"/>
          <w:i/>
          <w:iCs/>
          <w:sz w:val="22"/>
          <w:szCs w:val="22"/>
          <w:lang w:val="it"/>
        </w:rPr>
        <w:t>- Focus Group N. 2- Francese (Centraide, Université du Québec à Trois-Rivières, Maison de la culture Cote des Neiges de CDN, Centre des Ainés Côte-des-Neiges, Centre des Femmes du monde à Côte-des-Neiges, Club Ami, Fondation Émergence-défense des droits LGBTQ+, SPVM district 26, Santé publique de Montréal)</w:t>
      </w:r>
      <w:r>
        <w:rPr>
          <w:rFonts w:ascii="Arial" w:hAnsi="Arial" w:cs="Arial"/>
          <w:sz w:val="22"/>
          <w:szCs w:val="22"/>
          <w:lang w:val="it"/>
        </w:rPr>
        <w:br/>
      </w:r>
      <w:r>
        <w:rPr>
          <w:rFonts w:ascii="Arial" w:hAnsi="Arial" w:cs="Arial"/>
          <w:i/>
          <w:iCs/>
          <w:sz w:val="22"/>
          <w:szCs w:val="22"/>
          <w:lang w:val="it"/>
        </w:rPr>
        <w:t>- Focus Group N. 3- Staff di tutti i dipartimenti del Centro</w:t>
      </w:r>
    </w:p>
    <w:sectPr w:rsidR="009026AD" w:rsidRPr="00AA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E9F"/>
    <w:multiLevelType w:val="multilevel"/>
    <w:tmpl w:val="40A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60B"/>
    <w:multiLevelType w:val="hybridMultilevel"/>
    <w:tmpl w:val="E9A27C3E"/>
    <w:lvl w:ilvl="0" w:tplc="F3861A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906BD"/>
    <w:multiLevelType w:val="hybridMultilevel"/>
    <w:tmpl w:val="F33E2748"/>
    <w:lvl w:ilvl="0" w:tplc="9A8C8E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47810"/>
    <w:multiLevelType w:val="hybridMultilevel"/>
    <w:tmpl w:val="8EB65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56E3"/>
    <w:multiLevelType w:val="hybridMultilevel"/>
    <w:tmpl w:val="EB384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F2EE3"/>
    <w:multiLevelType w:val="hybridMultilevel"/>
    <w:tmpl w:val="E97246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7B7F"/>
    <w:multiLevelType w:val="hybridMultilevel"/>
    <w:tmpl w:val="8EA4A756"/>
    <w:lvl w:ilvl="0" w:tplc="96CCB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8219C"/>
    <w:multiLevelType w:val="hybridMultilevel"/>
    <w:tmpl w:val="125493C2"/>
    <w:lvl w:ilvl="0" w:tplc="E14CA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6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2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0C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E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C3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D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373F5B"/>
    <w:multiLevelType w:val="hybridMultilevel"/>
    <w:tmpl w:val="FDAC3FBA"/>
    <w:lvl w:ilvl="0" w:tplc="CEE0EDB0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8100C"/>
    <w:multiLevelType w:val="hybridMultilevel"/>
    <w:tmpl w:val="17207A38"/>
    <w:lvl w:ilvl="0" w:tplc="46A233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C654801"/>
    <w:multiLevelType w:val="hybridMultilevel"/>
    <w:tmpl w:val="08447EC0"/>
    <w:lvl w:ilvl="0" w:tplc="0328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05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6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0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E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E5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4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A85539"/>
    <w:multiLevelType w:val="hybridMultilevel"/>
    <w:tmpl w:val="6D6C5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5909"/>
    <w:multiLevelType w:val="hybridMultilevel"/>
    <w:tmpl w:val="6B342B82"/>
    <w:lvl w:ilvl="0" w:tplc="96CCB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6D54B18A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0A4F"/>
    <w:multiLevelType w:val="hybridMultilevel"/>
    <w:tmpl w:val="2DFC6408"/>
    <w:lvl w:ilvl="0" w:tplc="13E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3C2944"/>
    <w:multiLevelType w:val="hybridMultilevel"/>
    <w:tmpl w:val="90E89718"/>
    <w:lvl w:ilvl="0" w:tplc="0B86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03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06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8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E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84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6A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07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24CF7"/>
    <w:multiLevelType w:val="hybridMultilevel"/>
    <w:tmpl w:val="E7B8256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669430">
    <w:abstractNumId w:val="4"/>
  </w:num>
  <w:num w:numId="2" w16cid:durableId="529806322">
    <w:abstractNumId w:val="12"/>
  </w:num>
  <w:num w:numId="3" w16cid:durableId="908075052">
    <w:abstractNumId w:val="0"/>
  </w:num>
  <w:num w:numId="4" w16cid:durableId="367409880">
    <w:abstractNumId w:val="9"/>
  </w:num>
  <w:num w:numId="5" w16cid:durableId="1236940329">
    <w:abstractNumId w:val="14"/>
  </w:num>
  <w:num w:numId="6" w16cid:durableId="1596396951">
    <w:abstractNumId w:val="8"/>
  </w:num>
  <w:num w:numId="7" w16cid:durableId="1826777890">
    <w:abstractNumId w:val="2"/>
  </w:num>
  <w:num w:numId="8" w16cid:durableId="1899246897">
    <w:abstractNumId w:val="7"/>
  </w:num>
  <w:num w:numId="9" w16cid:durableId="948661083">
    <w:abstractNumId w:val="10"/>
  </w:num>
  <w:num w:numId="10" w16cid:durableId="739407478">
    <w:abstractNumId w:val="11"/>
  </w:num>
  <w:num w:numId="11" w16cid:durableId="1785730866">
    <w:abstractNumId w:val="3"/>
  </w:num>
  <w:num w:numId="12" w16cid:durableId="521170368">
    <w:abstractNumId w:val="5"/>
  </w:num>
  <w:num w:numId="13" w16cid:durableId="684211790">
    <w:abstractNumId w:val="1"/>
  </w:num>
  <w:num w:numId="14" w16cid:durableId="42365275">
    <w:abstractNumId w:val="15"/>
  </w:num>
  <w:num w:numId="15" w16cid:durableId="161702503">
    <w:abstractNumId w:val="6"/>
  </w:num>
  <w:num w:numId="16" w16cid:durableId="1317109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8"/>
    <w:rsid w:val="00015BD5"/>
    <w:rsid w:val="00042418"/>
    <w:rsid w:val="00063B43"/>
    <w:rsid w:val="000B7438"/>
    <w:rsid w:val="000E3203"/>
    <w:rsid w:val="000F295B"/>
    <w:rsid w:val="00144566"/>
    <w:rsid w:val="001B624B"/>
    <w:rsid w:val="00213ADE"/>
    <w:rsid w:val="00237854"/>
    <w:rsid w:val="00237A82"/>
    <w:rsid w:val="002A569A"/>
    <w:rsid w:val="003648D0"/>
    <w:rsid w:val="00373BB2"/>
    <w:rsid w:val="003850D4"/>
    <w:rsid w:val="003C0E71"/>
    <w:rsid w:val="0040007A"/>
    <w:rsid w:val="004010AC"/>
    <w:rsid w:val="00403F33"/>
    <w:rsid w:val="004047FB"/>
    <w:rsid w:val="00433EF8"/>
    <w:rsid w:val="0047570E"/>
    <w:rsid w:val="00476AA5"/>
    <w:rsid w:val="0048254D"/>
    <w:rsid w:val="00484269"/>
    <w:rsid w:val="00490D7F"/>
    <w:rsid w:val="005122E5"/>
    <w:rsid w:val="0055064E"/>
    <w:rsid w:val="00564311"/>
    <w:rsid w:val="00594BAD"/>
    <w:rsid w:val="005A362F"/>
    <w:rsid w:val="005C06BD"/>
    <w:rsid w:val="005F774E"/>
    <w:rsid w:val="00636218"/>
    <w:rsid w:val="00665B97"/>
    <w:rsid w:val="006C0E7D"/>
    <w:rsid w:val="006D53E3"/>
    <w:rsid w:val="006E2581"/>
    <w:rsid w:val="006E5B2A"/>
    <w:rsid w:val="00725759"/>
    <w:rsid w:val="00730537"/>
    <w:rsid w:val="007A27F2"/>
    <w:rsid w:val="007C2ADA"/>
    <w:rsid w:val="007C6754"/>
    <w:rsid w:val="007E0437"/>
    <w:rsid w:val="007F13BF"/>
    <w:rsid w:val="00806117"/>
    <w:rsid w:val="008809C6"/>
    <w:rsid w:val="008B17C6"/>
    <w:rsid w:val="008C7C88"/>
    <w:rsid w:val="008D08CE"/>
    <w:rsid w:val="008E7252"/>
    <w:rsid w:val="009026AD"/>
    <w:rsid w:val="00981994"/>
    <w:rsid w:val="009C1D7E"/>
    <w:rsid w:val="009E0727"/>
    <w:rsid w:val="009E533E"/>
    <w:rsid w:val="00A17948"/>
    <w:rsid w:val="00A258F6"/>
    <w:rsid w:val="00A52920"/>
    <w:rsid w:val="00A91CD8"/>
    <w:rsid w:val="00AA7327"/>
    <w:rsid w:val="00B613F6"/>
    <w:rsid w:val="00B923E6"/>
    <w:rsid w:val="00BB07A8"/>
    <w:rsid w:val="00BC70D0"/>
    <w:rsid w:val="00BD63BA"/>
    <w:rsid w:val="00BF2CE4"/>
    <w:rsid w:val="00C066A2"/>
    <w:rsid w:val="00C21EE7"/>
    <w:rsid w:val="00C801D5"/>
    <w:rsid w:val="00C8336A"/>
    <w:rsid w:val="00CE4964"/>
    <w:rsid w:val="00CF302D"/>
    <w:rsid w:val="00CF5BED"/>
    <w:rsid w:val="00D0510F"/>
    <w:rsid w:val="00D115D5"/>
    <w:rsid w:val="00D77271"/>
    <w:rsid w:val="00DD0CBC"/>
    <w:rsid w:val="00DF6567"/>
    <w:rsid w:val="00E1113F"/>
    <w:rsid w:val="00E51838"/>
    <w:rsid w:val="00E82A60"/>
    <w:rsid w:val="00EC2C4B"/>
    <w:rsid w:val="00FB3886"/>
    <w:rsid w:val="00FB579B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214D"/>
  <w15:chartTrackingRefBased/>
  <w15:docId w15:val="{3EE3909E-2382-4CCF-9FC1-B89E508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52920"/>
    <w:rPr>
      <w:b/>
      <w:bCs/>
    </w:rPr>
  </w:style>
  <w:style w:type="paragraph" w:styleId="ListParagraph">
    <w:name w:val="List Paragraph"/>
    <w:basedOn w:val="Normal"/>
    <w:uiPriority w:val="34"/>
    <w:qFormat/>
    <w:rsid w:val="00433E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03"/>
    <w:rPr>
      <w:i/>
      <w:iCs/>
    </w:rPr>
  </w:style>
  <w:style w:type="table" w:styleId="TableGrid">
    <w:name w:val="Table Grid"/>
    <w:basedOn w:val="TableNormal"/>
    <w:uiPriority w:val="39"/>
    <w:rsid w:val="00FE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db12d-2e99-4c5c-a233-4a4a0c2acd26">
      <Terms xmlns="http://schemas.microsoft.com/office/infopath/2007/PartnerControls"/>
    </lcf76f155ced4ddcb4097134ff3c332f>
    <TaxCatchAll xmlns="4cc5f488-8a31-4952-b862-fbdca3554c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EF2D2D61B44890D63CED46E8BF94" ma:contentTypeVersion="17" ma:contentTypeDescription="Create a new document." ma:contentTypeScope="" ma:versionID="88c3e03a2ecea0a34ada7bb30ab3f746">
  <xsd:schema xmlns:xsd="http://www.w3.org/2001/XMLSchema" xmlns:xs="http://www.w3.org/2001/XMLSchema" xmlns:p="http://schemas.microsoft.com/office/2006/metadata/properties" xmlns:ns2="b88db12d-2e99-4c5c-a233-4a4a0c2acd26" xmlns:ns3="4cc5f488-8a31-4952-b862-fbdca3554c38" targetNamespace="http://schemas.microsoft.com/office/2006/metadata/properties" ma:root="true" ma:fieldsID="621913c5b9e5fe1efcf7807bee647519" ns2:_="" ns3:_="">
    <xsd:import namespace="b88db12d-2e99-4c5c-a233-4a4a0c2acd26"/>
    <xsd:import namespace="4cc5f488-8a31-4952-b862-fbdca3554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b12d-2e99-4c5c-a233-4a4a0c2ac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44f8b9-ff0d-49c8-90d9-213bc5de4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5f488-8a31-4952-b862-fbdca3554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96aa3-e4c0-4ce9-902d-39734929d3c1}" ma:internalName="TaxCatchAll" ma:showField="CatchAllData" ma:web="4cc5f488-8a31-4952-b862-fbdca3554c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5E679-689A-48A9-AAAA-B0769683F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8CEE0-4C38-4A3E-B4AC-4897548F2BE9}">
  <ds:schemaRefs>
    <ds:schemaRef ds:uri="http://schemas.microsoft.com/office/2006/metadata/properties"/>
    <ds:schemaRef ds:uri="http://schemas.microsoft.com/office/infopath/2007/PartnerControls"/>
    <ds:schemaRef ds:uri="b88db12d-2e99-4c5c-a233-4a4a0c2acd26"/>
    <ds:schemaRef ds:uri="4cc5f488-8a31-4952-b862-fbdca3554c38"/>
  </ds:schemaRefs>
</ds:datastoreItem>
</file>

<file path=customXml/itemProps3.xml><?xml version="1.0" encoding="utf-8"?>
<ds:datastoreItem xmlns:ds="http://schemas.openxmlformats.org/officeDocument/2006/customXml" ds:itemID="{EB1D23BE-D7EB-4B92-8F28-CFCFF6E2D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db12d-2e99-4c5c-a233-4a4a0c2acd26"/>
    <ds:schemaRef ds:uri="4cc5f488-8a31-4952-b862-fbdca3554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Besner</dc:creator>
  <cp:keywords/>
  <dc:description/>
  <cp:lastModifiedBy>Janice Besner</cp:lastModifiedBy>
  <cp:revision>2</cp:revision>
  <dcterms:created xsi:type="dcterms:W3CDTF">2023-05-29T02:30:00Z</dcterms:created>
  <dcterms:modified xsi:type="dcterms:W3CDTF">2023-05-29T02:30:00Z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0x010100F0C364EA63ADA7468DAC0B254C13474E</vt:lpwstr>
  </property>
  <property fmtid="{D5CDD505-2E9C-101B-9397-08002B2CF9AE}" pid="3" name="MediaServiceImageTags">
    <vt:lpwstr/>
  </property>
</Properties>
</file>